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2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8"/>
        <w:gridCol w:w="680"/>
        <w:gridCol w:w="672"/>
        <w:gridCol w:w="581"/>
        <w:gridCol w:w="729"/>
        <w:gridCol w:w="590"/>
        <w:gridCol w:w="117"/>
        <w:gridCol w:w="307"/>
        <w:gridCol w:w="535"/>
        <w:gridCol w:w="601"/>
        <w:gridCol w:w="33"/>
        <w:gridCol w:w="694"/>
        <w:gridCol w:w="659"/>
        <w:gridCol w:w="712"/>
        <w:gridCol w:w="88"/>
        <w:gridCol w:w="621"/>
        <w:gridCol w:w="44"/>
        <w:gridCol w:w="674"/>
        <w:gridCol w:w="707"/>
        <w:gridCol w:w="820"/>
      </w:tblGrid>
      <w:tr w:rsidR="006A701A" w:rsidRPr="008B4FE6" w14:paraId="449F530E" w14:textId="77777777" w:rsidTr="00FC7D95">
        <w:trPr>
          <w:trHeight w:val="1611"/>
        </w:trPr>
        <w:tc>
          <w:tcPr>
            <w:tcW w:w="2061" w:type="pct"/>
            <w:gridSpan w:val="7"/>
          </w:tcPr>
          <w:p w14:paraId="0EE271F9" w14:textId="77777777" w:rsidR="006A701A" w:rsidRPr="008B4FE6" w:rsidRDefault="006A701A" w:rsidP="00616511">
            <w:pPr>
              <w:spacing w:before="120" w:line="240" w:lineRule="auto"/>
              <w:ind w:hanging="45"/>
              <w:rPr>
                <w:rFonts w:ascii="Times New Roman" w:hAnsi="Times New Roman"/>
                <w:color w:val="000000"/>
              </w:rPr>
            </w:pPr>
            <w:bookmarkStart w:id="0" w:name="t1"/>
            <w:r w:rsidRPr="008B4FE6">
              <w:rPr>
                <w:rFonts w:ascii="Times New Roman" w:hAnsi="Times New Roman"/>
                <w:b/>
                <w:color w:val="000000"/>
              </w:rPr>
              <w:t xml:space="preserve">Nazwa </w:t>
            </w:r>
            <w:r w:rsidR="001B75D8">
              <w:rPr>
                <w:rFonts w:ascii="Times New Roman" w:hAnsi="Times New Roman"/>
                <w:b/>
                <w:color w:val="000000"/>
              </w:rPr>
              <w:t>projektu</w:t>
            </w:r>
          </w:p>
          <w:p w14:paraId="4414FABD" w14:textId="7ED15922" w:rsidR="00F0101F" w:rsidRDefault="00F0101F" w:rsidP="00F0101F">
            <w:pPr>
              <w:spacing w:before="120" w:line="240" w:lineRule="auto"/>
              <w:ind w:hanging="45"/>
              <w:rPr>
                <w:rFonts w:ascii="Times New Roman" w:hAnsi="Times New Roman"/>
                <w:color w:val="000000"/>
              </w:rPr>
            </w:pPr>
            <w:r>
              <w:rPr>
                <w:rFonts w:ascii="Times New Roman" w:hAnsi="Times New Roman"/>
                <w:color w:val="000000"/>
              </w:rPr>
              <w:t xml:space="preserve">Projekt przepisów </w:t>
            </w:r>
            <w:r w:rsidRPr="00F0101F">
              <w:rPr>
                <w:rFonts w:ascii="Times New Roman" w:hAnsi="Times New Roman"/>
                <w:color w:val="000000"/>
              </w:rPr>
              <w:t>dotyczących wsparcia osób z niepełnosprawnościami w korzystaniu ze zdolności do czynności prawnych</w:t>
            </w:r>
          </w:p>
          <w:p w14:paraId="6D95C847" w14:textId="50B8294B" w:rsidR="006A701A" w:rsidRDefault="006A701A" w:rsidP="00F0101F">
            <w:pPr>
              <w:spacing w:before="120" w:line="240" w:lineRule="auto"/>
              <w:ind w:hanging="45"/>
              <w:rPr>
                <w:rFonts w:ascii="Times New Roman" w:hAnsi="Times New Roman"/>
                <w:b/>
                <w:color w:val="000000"/>
              </w:rPr>
            </w:pPr>
            <w:r w:rsidRPr="008B4FE6">
              <w:rPr>
                <w:rFonts w:ascii="Times New Roman" w:hAnsi="Times New Roman"/>
                <w:b/>
                <w:color w:val="000000"/>
              </w:rPr>
              <w:t>Ministerstwo wiodące i ministerstwa współpracujące</w:t>
            </w:r>
          </w:p>
          <w:p w14:paraId="4DA64D35" w14:textId="77777777" w:rsidR="00F0101F" w:rsidRPr="008B4FE6" w:rsidRDefault="00F0101F" w:rsidP="00F0101F">
            <w:pPr>
              <w:spacing w:before="120" w:line="240" w:lineRule="auto"/>
              <w:ind w:hanging="45"/>
              <w:rPr>
                <w:rFonts w:ascii="Times New Roman" w:hAnsi="Times New Roman"/>
                <w:b/>
                <w:color w:val="000000"/>
              </w:rPr>
            </w:pPr>
          </w:p>
          <w:bookmarkEnd w:id="0"/>
          <w:p w14:paraId="3C4944C6" w14:textId="0C92C8F8" w:rsidR="006A701A" w:rsidRDefault="00F0101F" w:rsidP="00A52ADB">
            <w:pPr>
              <w:spacing w:line="240" w:lineRule="auto"/>
              <w:ind w:hanging="34"/>
              <w:rPr>
                <w:rFonts w:ascii="Times New Roman" w:hAnsi="Times New Roman"/>
                <w:color w:val="000000"/>
              </w:rPr>
            </w:pPr>
            <w:r>
              <w:rPr>
                <w:rFonts w:ascii="Times New Roman" w:hAnsi="Times New Roman"/>
                <w:color w:val="000000"/>
              </w:rPr>
              <w:t>Ministerstwo Sprawiedliwości</w:t>
            </w:r>
          </w:p>
          <w:p w14:paraId="76348A5D" w14:textId="03281829" w:rsidR="005A380C" w:rsidRDefault="005A380C" w:rsidP="00A52ADB">
            <w:pPr>
              <w:spacing w:line="240" w:lineRule="auto"/>
              <w:ind w:hanging="34"/>
              <w:rPr>
                <w:rFonts w:ascii="Times New Roman" w:hAnsi="Times New Roman"/>
                <w:color w:val="000000"/>
              </w:rPr>
            </w:pPr>
            <w:r>
              <w:rPr>
                <w:rFonts w:ascii="Times New Roman" w:hAnsi="Times New Roman"/>
                <w:color w:val="000000"/>
              </w:rPr>
              <w:t>Ministerstwo Rodziny i Pracy Społecznej</w:t>
            </w:r>
          </w:p>
          <w:p w14:paraId="286CB6D7" w14:textId="77777777" w:rsidR="00F0101F" w:rsidRDefault="00F0101F" w:rsidP="00A52ADB">
            <w:pPr>
              <w:spacing w:line="240" w:lineRule="auto"/>
              <w:ind w:hanging="34"/>
              <w:rPr>
                <w:rFonts w:ascii="Times New Roman" w:hAnsi="Times New Roman"/>
                <w:color w:val="000000"/>
              </w:rPr>
            </w:pPr>
          </w:p>
          <w:p w14:paraId="76F9A649" w14:textId="77777777" w:rsidR="001B3460" w:rsidRPr="00642825" w:rsidRDefault="001B3460" w:rsidP="001B3460">
            <w:pPr>
              <w:spacing w:line="240" w:lineRule="auto"/>
              <w:rPr>
                <w:rFonts w:ascii="Times New Roman" w:hAnsi="Times New Roman"/>
                <w:b/>
                <w:sz w:val="21"/>
                <w:szCs w:val="21"/>
              </w:rPr>
            </w:pPr>
            <w:r w:rsidRPr="00642825">
              <w:rPr>
                <w:rFonts w:ascii="Times New Roman" w:hAnsi="Times New Roman"/>
                <w:b/>
                <w:sz w:val="21"/>
                <w:szCs w:val="24"/>
              </w:rPr>
              <w:t>Osoba odpowiedzialna za projekt w randze Ministra, Sekretarza Stanu lub Podsekretarza Stanu</w:t>
            </w:r>
            <w:r w:rsidRPr="00642825">
              <w:rPr>
                <w:rFonts w:ascii="Times New Roman" w:hAnsi="Times New Roman"/>
                <w:b/>
                <w:sz w:val="21"/>
                <w:szCs w:val="21"/>
              </w:rPr>
              <w:t xml:space="preserve"> </w:t>
            </w:r>
          </w:p>
          <w:p w14:paraId="2E2A6BCF" w14:textId="77777777" w:rsidR="006A701A" w:rsidRPr="008B4FE6" w:rsidRDefault="006A701A" w:rsidP="00616511">
            <w:pPr>
              <w:spacing w:before="120" w:line="240" w:lineRule="auto"/>
              <w:ind w:hanging="45"/>
              <w:rPr>
                <w:rFonts w:ascii="Times New Roman" w:hAnsi="Times New Roman"/>
                <w:b/>
                <w:color w:val="000000"/>
              </w:rPr>
            </w:pPr>
            <w:r w:rsidRPr="008B4FE6">
              <w:rPr>
                <w:rFonts w:ascii="Times New Roman" w:hAnsi="Times New Roman"/>
                <w:b/>
                <w:color w:val="000000"/>
              </w:rPr>
              <w:t>Kontakt do opiekuna merytorycznego projektu</w:t>
            </w:r>
          </w:p>
          <w:p w14:paraId="324E118A" w14:textId="553D1C58" w:rsidR="006A701A" w:rsidRPr="008B4FE6" w:rsidRDefault="006A701A" w:rsidP="00A17CB2">
            <w:pPr>
              <w:spacing w:line="240" w:lineRule="auto"/>
              <w:ind w:hanging="34"/>
              <w:rPr>
                <w:rFonts w:ascii="Times New Roman" w:hAnsi="Times New Roman"/>
                <w:color w:val="000000"/>
              </w:rPr>
            </w:pPr>
          </w:p>
        </w:tc>
        <w:tc>
          <w:tcPr>
            <w:tcW w:w="2939" w:type="pct"/>
            <w:gridSpan w:val="13"/>
            <w:shd w:val="clear" w:color="auto" w:fill="FFFFFF" w:themeFill="background1"/>
          </w:tcPr>
          <w:p w14:paraId="3AB1D6C9" w14:textId="61D4B04C" w:rsidR="001B3460" w:rsidRPr="00642825" w:rsidRDefault="001B3460" w:rsidP="001B3460">
            <w:pPr>
              <w:spacing w:line="240" w:lineRule="auto"/>
              <w:rPr>
                <w:rFonts w:ascii="Times New Roman" w:hAnsi="Times New Roman"/>
                <w:b/>
                <w:sz w:val="21"/>
                <w:szCs w:val="21"/>
              </w:rPr>
            </w:pPr>
            <w:r w:rsidRPr="00642825">
              <w:rPr>
                <w:rFonts w:ascii="Times New Roman" w:hAnsi="Times New Roman"/>
                <w:b/>
                <w:sz w:val="21"/>
                <w:szCs w:val="21"/>
              </w:rPr>
              <w:t>Data sporządzenia</w:t>
            </w:r>
            <w:r w:rsidRPr="00642825">
              <w:rPr>
                <w:rFonts w:ascii="Times New Roman" w:hAnsi="Times New Roman"/>
                <w:b/>
                <w:sz w:val="21"/>
                <w:szCs w:val="21"/>
              </w:rPr>
              <w:br/>
            </w:r>
            <w:r w:rsidR="005A380C">
              <w:rPr>
                <w:rFonts w:ascii="Times New Roman" w:hAnsi="Times New Roman"/>
                <w:sz w:val="21"/>
                <w:szCs w:val="21"/>
              </w:rPr>
              <w:t>30 kwietnia 2023</w:t>
            </w:r>
          </w:p>
          <w:p w14:paraId="672A6659" w14:textId="77777777" w:rsidR="00F76884" w:rsidRDefault="00F76884" w:rsidP="00F76884">
            <w:pPr>
              <w:spacing w:line="240" w:lineRule="auto"/>
              <w:rPr>
                <w:rFonts w:ascii="Times New Roman" w:hAnsi="Times New Roman"/>
                <w:b/>
              </w:rPr>
            </w:pPr>
          </w:p>
          <w:p w14:paraId="5980F608" w14:textId="77777777" w:rsidR="00F76884" w:rsidRPr="0065019F" w:rsidRDefault="00F76884" w:rsidP="00F76884">
            <w:pPr>
              <w:spacing w:line="240" w:lineRule="auto"/>
              <w:rPr>
                <w:rFonts w:ascii="Times New Roman" w:hAnsi="Times New Roman"/>
                <w:b/>
              </w:rPr>
            </w:pPr>
            <w:r w:rsidRPr="0065019F">
              <w:rPr>
                <w:rFonts w:ascii="Times New Roman" w:hAnsi="Times New Roman"/>
                <w:b/>
              </w:rPr>
              <w:t xml:space="preserve">Źródło: </w:t>
            </w:r>
            <w:bookmarkStart w:id="1" w:name="Lista1"/>
          </w:p>
          <w:bookmarkEnd w:id="1"/>
          <w:p w14:paraId="64EE0479" w14:textId="77777777" w:rsidR="00F76884" w:rsidRPr="0065019F" w:rsidRDefault="00F76884" w:rsidP="00F76884">
            <w:pPr>
              <w:spacing w:line="240" w:lineRule="auto"/>
              <w:rPr>
                <w:rFonts w:ascii="Times New Roman" w:hAnsi="Times New Roman"/>
              </w:rPr>
            </w:pPr>
            <w:r>
              <w:rPr>
                <w:rFonts w:ascii="Times New Roman" w:hAnsi="Times New Roman"/>
              </w:rPr>
              <w:fldChar w:fldCharType="begin">
                <w:ffData>
                  <w:name w:val=""/>
                  <w:enabled/>
                  <w:calcOnExit w:val="0"/>
                  <w:ddList>
                    <w:listEntry w:val="Expose Premiera"/>
                    <w:listEntry w:val="decyzja PRM/RM"/>
                    <w:listEntry w:val="Prawo UE"/>
                    <w:listEntry w:val="Orzeczenie TK"/>
                    <w:listEntry w:val="Upoważnienie ustawowe"/>
                    <w:listEntry w:val="Stategia"/>
                    <w:listEntry w:val="inne"/>
                  </w:ddList>
                </w:ffData>
              </w:fldChar>
            </w:r>
            <w:r>
              <w:rPr>
                <w:rFonts w:ascii="Times New Roman" w:hAnsi="Times New Roman"/>
              </w:rPr>
              <w:instrText xml:space="preserve"> FORMDROPDOWN </w:instrText>
            </w:r>
            <w:r w:rsidR="005A380C">
              <w:rPr>
                <w:rFonts w:ascii="Times New Roman" w:hAnsi="Times New Roman"/>
              </w:rPr>
            </w:r>
            <w:r w:rsidR="005A380C">
              <w:rPr>
                <w:rFonts w:ascii="Times New Roman" w:hAnsi="Times New Roman"/>
              </w:rPr>
              <w:fldChar w:fldCharType="separate"/>
            </w:r>
            <w:r>
              <w:rPr>
                <w:rFonts w:ascii="Times New Roman" w:hAnsi="Times New Roman"/>
              </w:rPr>
              <w:fldChar w:fldCharType="end"/>
            </w:r>
          </w:p>
          <w:p w14:paraId="0A37501D" w14:textId="77777777" w:rsidR="00F76884" w:rsidRPr="0065019F" w:rsidRDefault="00F76884" w:rsidP="00F76884">
            <w:pPr>
              <w:spacing w:line="240" w:lineRule="auto"/>
              <w:rPr>
                <w:rFonts w:ascii="Times New Roman" w:hAnsi="Times New Roman"/>
              </w:rPr>
            </w:pPr>
          </w:p>
          <w:p w14:paraId="2609E3F9" w14:textId="77777777" w:rsidR="006A701A" w:rsidRPr="008B4FE6" w:rsidRDefault="006A701A" w:rsidP="007943E2">
            <w:pPr>
              <w:spacing w:before="120" w:line="240" w:lineRule="auto"/>
              <w:rPr>
                <w:rFonts w:ascii="Times New Roman" w:hAnsi="Times New Roman"/>
                <w:b/>
                <w:color w:val="000000"/>
              </w:rPr>
            </w:pPr>
            <w:r w:rsidRPr="008B4FE6">
              <w:rPr>
                <w:rFonts w:ascii="Times New Roman" w:hAnsi="Times New Roman"/>
                <w:b/>
                <w:color w:val="000000"/>
              </w:rPr>
              <w:t xml:space="preserve">Nr </w:t>
            </w:r>
            <w:r w:rsidR="0057668E">
              <w:rPr>
                <w:rFonts w:ascii="Times New Roman" w:hAnsi="Times New Roman"/>
                <w:b/>
                <w:color w:val="000000"/>
              </w:rPr>
              <w:t>w</w:t>
            </w:r>
            <w:r w:rsidRPr="008B4FE6">
              <w:rPr>
                <w:rFonts w:ascii="Times New Roman" w:hAnsi="Times New Roman"/>
                <w:b/>
                <w:color w:val="000000"/>
              </w:rPr>
              <w:t xml:space="preserve"> wykaz</w:t>
            </w:r>
            <w:r w:rsidR="0057668E">
              <w:rPr>
                <w:rFonts w:ascii="Times New Roman" w:hAnsi="Times New Roman"/>
                <w:b/>
                <w:color w:val="000000"/>
              </w:rPr>
              <w:t>ie</w:t>
            </w:r>
            <w:r w:rsidRPr="008B4FE6">
              <w:rPr>
                <w:rFonts w:ascii="Times New Roman" w:hAnsi="Times New Roman"/>
                <w:b/>
                <w:color w:val="000000"/>
              </w:rPr>
              <w:t xml:space="preserve"> prac </w:t>
            </w:r>
            <w:r w:rsidR="00FA117A">
              <w:rPr>
                <w:rFonts w:ascii="Times New Roman" w:hAnsi="Times New Roman"/>
                <w:b/>
                <w:color w:val="000000"/>
              </w:rPr>
              <w:t>………………….</w:t>
            </w:r>
          </w:p>
          <w:p w14:paraId="7C60935A" w14:textId="77777777" w:rsidR="006A701A" w:rsidRPr="008B4FE6" w:rsidRDefault="006A701A" w:rsidP="007943E2">
            <w:pPr>
              <w:spacing w:line="240" w:lineRule="auto"/>
              <w:rPr>
                <w:rFonts w:ascii="Times New Roman" w:hAnsi="Times New Roman"/>
                <w:color w:val="000000"/>
              </w:rPr>
            </w:pPr>
            <w:r w:rsidRPr="008B4FE6">
              <w:rPr>
                <w:rFonts w:ascii="Times New Roman" w:hAnsi="Times New Roman"/>
                <w:color w:val="000000"/>
              </w:rPr>
              <w:fldChar w:fldCharType="begin">
                <w:ffData>
                  <w:name w:val="t5"/>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8B4FE6">
              <w:rPr>
                <w:rFonts w:ascii="Times New Roman" w:hAnsi="Times New Roman"/>
                <w:color w:val="000000"/>
              </w:rPr>
              <w:instrText xml:space="preserve"> FORMTEXT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hAnsi="Times New Roman"/>
                <w:color w:val="000000"/>
              </w:rPr>
              <w:fldChar w:fldCharType="end"/>
            </w:r>
          </w:p>
          <w:p w14:paraId="5DAB6C7B" w14:textId="77777777" w:rsidR="006A701A" w:rsidRPr="008B4FE6" w:rsidRDefault="006A701A" w:rsidP="511D0823">
            <w:pPr>
              <w:spacing w:line="240" w:lineRule="auto"/>
              <w:ind w:left="900"/>
              <w:rPr>
                <w:rFonts w:ascii="Times New Roman" w:hAnsi="Times New Roman"/>
                <w:color w:val="000000"/>
                <w:sz w:val="28"/>
                <w:szCs w:val="28"/>
              </w:rPr>
            </w:pPr>
          </w:p>
        </w:tc>
      </w:tr>
      <w:tr w:rsidR="006A701A" w:rsidRPr="0022687A" w14:paraId="4990CACC" w14:textId="77777777" w:rsidTr="003A573A">
        <w:trPr>
          <w:trHeight w:val="142"/>
        </w:trPr>
        <w:tc>
          <w:tcPr>
            <w:tcW w:w="5000" w:type="pct"/>
            <w:gridSpan w:val="20"/>
            <w:shd w:val="clear" w:color="auto" w:fill="99CCFF"/>
          </w:tcPr>
          <w:p w14:paraId="215966BC" w14:textId="77777777" w:rsidR="006A701A" w:rsidRPr="00627221" w:rsidRDefault="006A701A" w:rsidP="001B4CA1">
            <w:pPr>
              <w:spacing w:line="240" w:lineRule="auto"/>
              <w:ind w:left="57"/>
              <w:jc w:val="center"/>
              <w:rPr>
                <w:rFonts w:ascii="Times New Roman" w:hAnsi="Times New Roman"/>
                <w:b/>
                <w:color w:val="FFFFFF"/>
                <w:sz w:val="32"/>
                <w:szCs w:val="32"/>
              </w:rPr>
            </w:pPr>
            <w:r w:rsidRPr="00627221">
              <w:rPr>
                <w:rFonts w:ascii="Times New Roman" w:hAnsi="Times New Roman"/>
                <w:b/>
                <w:color w:val="FFFFFF"/>
                <w:sz w:val="32"/>
                <w:szCs w:val="32"/>
              </w:rPr>
              <w:t>OCENA SKUTKÓW REGULACJI</w:t>
            </w:r>
          </w:p>
        </w:tc>
      </w:tr>
      <w:tr w:rsidR="006A701A" w:rsidRPr="008B4FE6" w14:paraId="0260389F" w14:textId="77777777" w:rsidTr="003A573A">
        <w:trPr>
          <w:trHeight w:val="333"/>
        </w:trPr>
        <w:tc>
          <w:tcPr>
            <w:tcW w:w="5000" w:type="pct"/>
            <w:gridSpan w:val="20"/>
            <w:shd w:val="clear" w:color="auto" w:fill="99CCFF"/>
            <w:vAlign w:val="center"/>
          </w:tcPr>
          <w:p w14:paraId="03801143" w14:textId="77777777" w:rsidR="006A701A" w:rsidRPr="008B4FE6" w:rsidRDefault="003D12F6" w:rsidP="006A701A">
            <w:pPr>
              <w:numPr>
                <w:ilvl w:val="0"/>
                <w:numId w:val="4"/>
              </w:numPr>
              <w:spacing w:before="60" w:after="60" w:line="240" w:lineRule="auto"/>
              <w:ind w:left="318" w:hanging="284"/>
              <w:jc w:val="both"/>
              <w:rPr>
                <w:rFonts w:ascii="Times New Roman" w:hAnsi="Times New Roman"/>
                <w:b/>
                <w:color w:val="000000"/>
              </w:rPr>
            </w:pPr>
            <w:r w:rsidRPr="001812C7">
              <w:rPr>
                <w:rFonts w:ascii="Times New Roman" w:hAnsi="Times New Roman"/>
                <w:b/>
              </w:rPr>
              <w:t xml:space="preserve">Jaki problem jest </w:t>
            </w:r>
            <w:r w:rsidR="00CC6305" w:rsidRPr="001812C7">
              <w:rPr>
                <w:rFonts w:ascii="Times New Roman" w:hAnsi="Times New Roman"/>
                <w:b/>
              </w:rPr>
              <w:t>rozwiązywany</w:t>
            </w:r>
            <w:r w:rsidR="00CC6305">
              <w:rPr>
                <w:rFonts w:ascii="Times New Roman" w:hAnsi="Times New Roman"/>
                <w:b/>
              </w:rPr>
              <w:t>?</w:t>
            </w:r>
            <w:bookmarkStart w:id="2" w:name="Wybór1"/>
            <w:bookmarkEnd w:id="2"/>
          </w:p>
        </w:tc>
      </w:tr>
      <w:tr w:rsidR="005A380C" w:rsidRPr="008B4FE6" w14:paraId="02EB378F" w14:textId="77777777" w:rsidTr="003A573A">
        <w:trPr>
          <w:trHeight w:val="546"/>
        </w:trPr>
        <w:tc>
          <w:tcPr>
            <w:tcW w:w="5000" w:type="pct"/>
            <w:gridSpan w:val="20"/>
            <w:shd w:val="clear" w:color="auto" w:fill="FFFFFF" w:themeFill="background1"/>
          </w:tcPr>
          <w:p w14:paraId="54F12762" w14:textId="77777777" w:rsidR="005A380C" w:rsidRDefault="005A380C" w:rsidP="005A380C">
            <w:pPr>
              <w:spacing w:line="240" w:lineRule="auto"/>
              <w:jc w:val="both"/>
              <w:rPr>
                <w:rFonts w:ascii="Times New Roman" w:hAnsi="Times New Roman"/>
                <w:color w:val="000000"/>
              </w:rPr>
            </w:pPr>
          </w:p>
          <w:p w14:paraId="4280B62A" w14:textId="77777777" w:rsidR="005A380C" w:rsidRPr="00B37C80" w:rsidRDefault="005A380C" w:rsidP="005A380C">
            <w:pPr>
              <w:spacing w:line="240" w:lineRule="auto"/>
              <w:jc w:val="both"/>
              <w:rPr>
                <w:rFonts w:cs="Calibri"/>
                <w:sz w:val="24"/>
                <w:szCs w:val="24"/>
              </w:rPr>
            </w:pPr>
            <w:r w:rsidRPr="0C94E1DF">
              <w:rPr>
                <w:rFonts w:asciiTheme="minorHAnsi" w:eastAsiaTheme="minorEastAsia" w:hAnsiTheme="minorHAnsi" w:cstheme="minorBidi"/>
                <w:color w:val="000000" w:themeColor="text1"/>
                <w:sz w:val="24"/>
                <w:szCs w:val="24"/>
              </w:rPr>
              <w:t xml:space="preserve">Projekt przepisów stanowi odpowiedź na zgłaszane od 2005 r. potrzeby środowiska osób z niepełnosprawnościami w zakresie wsparcia w korzystaniu ze zdolności do czynności prawnych (A. </w:t>
            </w:r>
            <w:proofErr w:type="spellStart"/>
            <w:r w:rsidRPr="0C94E1DF">
              <w:rPr>
                <w:rFonts w:asciiTheme="minorHAnsi" w:eastAsiaTheme="minorEastAsia" w:hAnsiTheme="minorHAnsi" w:cstheme="minorBidi"/>
                <w:color w:val="000000" w:themeColor="text1"/>
                <w:sz w:val="24"/>
                <w:szCs w:val="24"/>
              </w:rPr>
              <w:t>Firkowska</w:t>
            </w:r>
            <w:proofErr w:type="spellEnd"/>
            <w:r w:rsidRPr="0C94E1DF">
              <w:rPr>
                <w:rFonts w:asciiTheme="minorHAnsi" w:eastAsiaTheme="minorEastAsia" w:hAnsiTheme="minorHAnsi" w:cstheme="minorBidi"/>
                <w:color w:val="000000" w:themeColor="text1"/>
                <w:sz w:val="24"/>
                <w:szCs w:val="24"/>
              </w:rPr>
              <w:t xml:space="preserve">-Mankiewicz, J. Parczewski, M. </w:t>
            </w:r>
            <w:proofErr w:type="spellStart"/>
            <w:r w:rsidRPr="0C94E1DF">
              <w:rPr>
                <w:rFonts w:asciiTheme="minorHAnsi" w:eastAsiaTheme="minorEastAsia" w:hAnsiTheme="minorHAnsi" w:cstheme="minorBidi"/>
                <w:color w:val="000000" w:themeColor="text1"/>
                <w:sz w:val="24"/>
                <w:szCs w:val="24"/>
              </w:rPr>
              <w:t>Szeroczyńska</w:t>
            </w:r>
            <w:proofErr w:type="spellEnd"/>
            <w:r w:rsidRPr="0C94E1DF">
              <w:rPr>
                <w:rFonts w:asciiTheme="minorHAnsi" w:eastAsiaTheme="minorEastAsia" w:hAnsiTheme="minorHAnsi" w:cstheme="minorBidi"/>
                <w:color w:val="000000" w:themeColor="text1"/>
                <w:sz w:val="24"/>
                <w:szCs w:val="24"/>
              </w:rPr>
              <w:t xml:space="preserve"> Praktyka ubezwłasnowolniania osób z niepełnosprawnością intelektualną w polskich sądach - raport z badań „Człowiek-Niepełnosprawność-Społeczeństwo”, nr 2/2005, I. Kleniewska, Postępowanie w sprawie o ubezwłasnowolnienie w praktyce sądowej, (w:) E. Holewińska-Łapińskiej (red.) „Prawo w działaniu”, Warszawa 2006). Na pilną potrzebą wsparcia w tym zakresie wskazują także wyniki diagnozy i konsultacji społecznych prowadzonych w projekcie “</w:t>
            </w:r>
            <w:r w:rsidRPr="0C94E1DF">
              <w:rPr>
                <w:rFonts w:cs="Calibri"/>
                <w:sz w:val="24"/>
                <w:szCs w:val="24"/>
              </w:rPr>
              <w:t>Aktywni Niepełnosprawni – narzędzia wsparcia samodzielności osób niepełnosprawnych”, w ramach Działania 2.6 Wysoka jakość polityki na rzecz włączenia społecznego i zawodowego osób niepełnosprawnych,</w:t>
            </w:r>
            <w:r w:rsidRPr="0C94E1DF">
              <w:rPr>
                <w:rFonts w:cs="Calibri"/>
                <w:i/>
                <w:iCs/>
                <w:sz w:val="24"/>
                <w:szCs w:val="24"/>
              </w:rPr>
              <w:t xml:space="preserve"> POWER 2014-2020.</w:t>
            </w:r>
          </w:p>
          <w:p w14:paraId="5ED941BF" w14:textId="77777777" w:rsidR="005A380C" w:rsidRPr="00B37C80" w:rsidRDefault="005A380C" w:rsidP="005A380C">
            <w:pPr>
              <w:spacing w:line="240" w:lineRule="auto"/>
              <w:jc w:val="both"/>
              <w:rPr>
                <w:rFonts w:asciiTheme="minorHAnsi" w:eastAsiaTheme="minorEastAsia" w:hAnsiTheme="minorHAnsi" w:cstheme="minorBidi"/>
                <w:color w:val="000000" w:themeColor="text1"/>
                <w:sz w:val="24"/>
                <w:szCs w:val="24"/>
              </w:rPr>
            </w:pPr>
            <w:r w:rsidRPr="0C94E1DF">
              <w:rPr>
                <w:rFonts w:asciiTheme="minorHAnsi" w:eastAsiaTheme="minorEastAsia" w:hAnsiTheme="minorHAnsi" w:cstheme="minorBidi"/>
                <w:color w:val="000000" w:themeColor="text1"/>
                <w:sz w:val="24"/>
                <w:szCs w:val="24"/>
              </w:rPr>
              <w:t>Proponowane rozwiązania stanowią alternatywę wobec ubezwłasnowolnienia całkowitego i częściowego, są oparte na modelu wspieranego podejmowania decyzji (</w:t>
            </w:r>
            <w:proofErr w:type="spellStart"/>
            <w:r w:rsidRPr="0C94E1DF">
              <w:rPr>
                <w:rFonts w:asciiTheme="minorHAnsi" w:eastAsiaTheme="minorEastAsia" w:hAnsiTheme="minorHAnsi" w:cstheme="minorBidi"/>
                <w:color w:val="000000" w:themeColor="text1"/>
                <w:sz w:val="24"/>
                <w:szCs w:val="24"/>
              </w:rPr>
              <w:t>supported</w:t>
            </w:r>
            <w:proofErr w:type="spellEnd"/>
            <w:r w:rsidRPr="0C94E1DF">
              <w:rPr>
                <w:rFonts w:asciiTheme="minorHAnsi" w:eastAsiaTheme="minorEastAsia" w:hAnsiTheme="minorHAnsi" w:cstheme="minorBidi"/>
                <w:color w:val="000000" w:themeColor="text1"/>
                <w:sz w:val="24"/>
                <w:szCs w:val="24"/>
              </w:rPr>
              <w:t xml:space="preserve"> </w:t>
            </w:r>
            <w:proofErr w:type="spellStart"/>
            <w:r w:rsidRPr="0C94E1DF">
              <w:rPr>
                <w:rFonts w:asciiTheme="minorHAnsi" w:eastAsiaTheme="minorEastAsia" w:hAnsiTheme="minorHAnsi" w:cstheme="minorBidi"/>
                <w:color w:val="000000" w:themeColor="text1"/>
                <w:sz w:val="24"/>
                <w:szCs w:val="24"/>
              </w:rPr>
              <w:t>decision</w:t>
            </w:r>
            <w:proofErr w:type="spellEnd"/>
            <w:r w:rsidRPr="0C94E1DF">
              <w:rPr>
                <w:rFonts w:asciiTheme="minorHAnsi" w:eastAsiaTheme="minorEastAsia" w:hAnsiTheme="minorHAnsi" w:cstheme="minorBidi"/>
                <w:color w:val="000000" w:themeColor="text1"/>
                <w:sz w:val="24"/>
                <w:szCs w:val="24"/>
              </w:rPr>
              <w:t xml:space="preserve"> </w:t>
            </w:r>
            <w:proofErr w:type="spellStart"/>
            <w:r w:rsidRPr="0C94E1DF">
              <w:rPr>
                <w:rFonts w:asciiTheme="minorHAnsi" w:eastAsiaTheme="minorEastAsia" w:hAnsiTheme="minorHAnsi" w:cstheme="minorBidi"/>
                <w:color w:val="000000" w:themeColor="text1"/>
                <w:sz w:val="24"/>
                <w:szCs w:val="24"/>
              </w:rPr>
              <w:t>making</w:t>
            </w:r>
            <w:proofErr w:type="spellEnd"/>
            <w:r w:rsidRPr="0C94E1DF">
              <w:rPr>
                <w:rFonts w:asciiTheme="minorHAnsi" w:eastAsiaTheme="minorEastAsia" w:hAnsiTheme="minorHAnsi" w:cstheme="minorBidi"/>
                <w:color w:val="000000" w:themeColor="text1"/>
                <w:sz w:val="24"/>
                <w:szCs w:val="24"/>
              </w:rPr>
              <w:t>) i uwzględniają nowoczesny paradygmat niepełnosprawności, na którym oparta została Strategia na rzecz Osób z Niepełnosprawnościami 2021-2030 (Uchwała nr 27 Rady Ministrów z dnia 16 lutego 2021 r., M.P z 25 lutego 2021, poz. 218). Projektowane przepisy są drugą w Polsce - po projekcie założeń Komisji Kodyfikacyjnej Prawa Cywilnego (2011-2015) - próbą reformy instytucji ubezwłasnowolnienia (Sprawozdanie z działalności Komisji Kodyfikacyjnej Prawa Cywilnego 2011-2015, https://www.gov.pl/web/sprawiedliwosc/komisja-kodyfikacyjna-prawa-cywilnego). Obowiązujący w Polsce system zastępczego podejmowania decyzji oparty na ubezwłasnowolnieniu (art. 13 i 16 kodeksu cywilnego) od wielu lat jest poddawany krytyce w doktrynie (K. Kurowski Wolności i prawa człowieka i obywatela z perspektywy osób z niepełnosprawnościami, wyd. BRPO, Warszawa 2011, M. Zima-Parjaszewska, M. Zima-Parjaszewska: Artykuł 12 Konwencji o prawach osób z niepełnosprawnościami a ubezwłasnowolnienie w Polsce, (w:) Studia Prawnicze 2013/2 (194), K. Kędziora (red.) Jeśli nie ubezwłasnowolnienie, to co? Prawne formy wsparcia osób z niepełnosprawnością intelektualną, PTPA, Warszawa 2012, D. Pudzianowska (red.) Prawa osób z niepełnosprawnością intelektualną lub psychiczną w świetle międzynarodowych instrumentów ochrony praw człowieka, Warszawa 2014).</w:t>
            </w:r>
          </w:p>
          <w:p w14:paraId="4FBC2A15" w14:textId="77777777" w:rsidR="005A380C" w:rsidRPr="00B37C80" w:rsidRDefault="005A380C" w:rsidP="005A380C">
            <w:pPr>
              <w:spacing w:line="240" w:lineRule="auto"/>
              <w:jc w:val="both"/>
              <w:rPr>
                <w:rFonts w:asciiTheme="minorHAnsi" w:eastAsiaTheme="minorEastAsia" w:hAnsiTheme="minorHAnsi" w:cstheme="minorBidi"/>
                <w:color w:val="000000" w:themeColor="text1"/>
                <w:sz w:val="24"/>
                <w:szCs w:val="24"/>
              </w:rPr>
            </w:pPr>
            <w:r w:rsidRPr="0C94E1DF">
              <w:rPr>
                <w:rFonts w:asciiTheme="minorHAnsi" w:eastAsiaTheme="minorEastAsia" w:hAnsiTheme="minorHAnsi" w:cstheme="minorBidi"/>
                <w:color w:val="000000" w:themeColor="text1"/>
                <w:sz w:val="24"/>
                <w:szCs w:val="24"/>
              </w:rPr>
              <w:t xml:space="preserve">Projekt przepisów w zakresie korzystania ze zdolności do czynności prawnych stanowi także realizację zobowiązań międzynarodowych oraz postulatów zgłaszanych od wielu lat zarówno przed krajowe, jak i międzynarodowe organy ochrony wolności i praw człowieka. W wyroku z dnia 7 marca 2007 roku o sygn. akt K 28/05 Trybunał Konstytucyjny wskazał na zasadność dokonania kompleksowych zmian w zakresie instytucji ubezwłasnowolnienia w prawie polskim. Podkreślił w szczególności, że w większości państw europejskich konstrukcje prawne podążają w kierunku rozwiązań elastycznych, dopasowanych do konkretnych okoliczności </w:t>
            </w:r>
            <w:r w:rsidRPr="0C94E1DF">
              <w:rPr>
                <w:rFonts w:asciiTheme="minorHAnsi" w:eastAsiaTheme="minorEastAsia" w:hAnsiTheme="minorHAnsi" w:cstheme="minorBidi"/>
                <w:color w:val="000000" w:themeColor="text1"/>
                <w:sz w:val="24"/>
                <w:szCs w:val="24"/>
              </w:rPr>
              <w:lastRenderedPageBreak/>
              <w:t>przez orzekający sąd. Ratyfikowana przez Polskę Konwencja o prawach osób z niepełnosprawnościami (Dz. U. 2012 poz. 1169) przewiduje w art. 12, że osoby z niepełnosprawnościami mają prawo do uznania ich za podmioty prawa (ust. 1), a ponadto, iż mają zdolność do czynności prawnych (</w:t>
            </w:r>
            <w:proofErr w:type="spellStart"/>
            <w:r w:rsidRPr="0C94E1DF">
              <w:rPr>
                <w:rFonts w:asciiTheme="minorHAnsi" w:eastAsiaTheme="minorEastAsia" w:hAnsiTheme="minorHAnsi" w:cstheme="minorBidi"/>
                <w:color w:val="000000" w:themeColor="text1"/>
                <w:sz w:val="24"/>
                <w:szCs w:val="24"/>
              </w:rPr>
              <w:t>legal</w:t>
            </w:r>
            <w:proofErr w:type="spellEnd"/>
            <w:r w:rsidRPr="0C94E1DF">
              <w:rPr>
                <w:rFonts w:asciiTheme="minorHAnsi" w:eastAsiaTheme="minorEastAsia" w:hAnsiTheme="minorHAnsi" w:cstheme="minorBidi"/>
                <w:color w:val="000000" w:themeColor="text1"/>
                <w:sz w:val="24"/>
                <w:szCs w:val="24"/>
              </w:rPr>
              <w:t xml:space="preserve"> </w:t>
            </w:r>
            <w:proofErr w:type="spellStart"/>
            <w:r w:rsidRPr="0C94E1DF">
              <w:rPr>
                <w:rFonts w:asciiTheme="minorHAnsi" w:eastAsiaTheme="minorEastAsia" w:hAnsiTheme="minorHAnsi" w:cstheme="minorBidi"/>
                <w:color w:val="000000" w:themeColor="text1"/>
                <w:sz w:val="24"/>
                <w:szCs w:val="24"/>
              </w:rPr>
              <w:t>capacity</w:t>
            </w:r>
            <w:proofErr w:type="spellEnd"/>
            <w:r w:rsidRPr="0C94E1DF">
              <w:rPr>
                <w:rFonts w:asciiTheme="minorHAnsi" w:eastAsiaTheme="minorEastAsia" w:hAnsiTheme="minorHAnsi" w:cstheme="minorBidi"/>
                <w:color w:val="000000" w:themeColor="text1"/>
                <w:sz w:val="24"/>
                <w:szCs w:val="24"/>
              </w:rPr>
              <w:t xml:space="preserve">) na zasadzie równości z innymi osobami, we wszystkich aspektach życia (ust. 2). Państwa są zobowiązane podjąć odpowiednie środki w celu zapewnienia osobom z niepełnosprawnościami dostępu do wsparcia, którego mogą potrzebować przy korzystaniu ze zdolności do czynności prawnych (ust. 3), dopuszczalne środki związane z korzystaniem ze zdolności do czynności prawnych muszą obejmować odpowiednie i skuteczne zabezpieczenia, aby zapobiec nadużyciom zgodnie z międzynarodowym prawem praw człowieka (ust. 4). Środki te: będą respektowały prawa, wolę i preferencje osoby z niepełnosprawnością, będą wolne od konfliktu interesów i bezprawnych nacisków, będą proporcjonalne i dopasowane do okoliczności konkretnej osoby, będą stosowane przez możliwie najkrótszy czas, będą podlegały regularnemu przeglądowi przez właściwe, niezależne i obiektywne władze lub organ sądowy. Zgodnie z ust. 5 art. 12 państwa mają również obowiązek podjęcia wszelkich odpowiednich i efektywnych środków celem zagwarantowania równego prawa osób niepełnosprawnych do posiadania i dziedziczenia własności, kontroli własnych spraw finansowych oraz do jednakowego dostępu do pożyczek bankowych, hipotecznych i innych form kredytów oraz zapewnią, że osoby z niepełnosprawnościami nie będą samowolnie pozbawiane własności. W polskim tłumaczeniu Konwencji angielski zwrot </w:t>
            </w:r>
            <w:proofErr w:type="spellStart"/>
            <w:r w:rsidRPr="0C94E1DF">
              <w:rPr>
                <w:rFonts w:asciiTheme="minorHAnsi" w:eastAsiaTheme="minorEastAsia" w:hAnsiTheme="minorHAnsi" w:cstheme="minorBidi"/>
                <w:color w:val="000000" w:themeColor="text1"/>
                <w:sz w:val="24"/>
                <w:szCs w:val="24"/>
              </w:rPr>
              <w:t>legal</w:t>
            </w:r>
            <w:proofErr w:type="spellEnd"/>
            <w:r w:rsidRPr="0C94E1DF">
              <w:rPr>
                <w:rFonts w:asciiTheme="minorHAnsi" w:eastAsiaTheme="minorEastAsia" w:hAnsiTheme="minorHAnsi" w:cstheme="minorBidi"/>
                <w:color w:val="000000" w:themeColor="text1"/>
                <w:sz w:val="24"/>
                <w:szCs w:val="24"/>
              </w:rPr>
              <w:t xml:space="preserve"> </w:t>
            </w:r>
            <w:proofErr w:type="spellStart"/>
            <w:r w:rsidRPr="0C94E1DF">
              <w:rPr>
                <w:rFonts w:asciiTheme="minorHAnsi" w:eastAsiaTheme="minorEastAsia" w:hAnsiTheme="minorHAnsi" w:cstheme="minorBidi"/>
                <w:color w:val="000000" w:themeColor="text1"/>
                <w:sz w:val="24"/>
                <w:szCs w:val="24"/>
              </w:rPr>
              <w:t>capacity</w:t>
            </w:r>
            <w:proofErr w:type="spellEnd"/>
            <w:r w:rsidRPr="0C94E1DF">
              <w:rPr>
                <w:rFonts w:asciiTheme="minorHAnsi" w:eastAsiaTheme="minorEastAsia" w:hAnsiTheme="minorHAnsi" w:cstheme="minorBidi"/>
                <w:color w:val="000000" w:themeColor="text1"/>
                <w:sz w:val="24"/>
                <w:szCs w:val="24"/>
              </w:rPr>
              <w:t xml:space="preserve"> przetłumaczono jako „zdolność prawną”. Polska złożyła także oświadczenie interpretacyjne, zgodnie z którym Rzeczpospolita Polska „interpretuje art. 12 Konwencji w sposób zezwalający na stosowanie ubezwłasnowolnienia”. Komentarz nr 1 Komitetu ds. Praw Osób z Niepełnosprawnościami do art. 12 Konwencji oraz orzecznictwo Komitetu przekonują, że każda forma ingerencji w zdolność do czynności prawnych osoby z niepełnosprawnością jest niezgodna z art. 12 Konwencji.</w:t>
            </w:r>
            <w:r>
              <w:br/>
            </w:r>
            <w:r w:rsidRPr="0C94E1DF">
              <w:rPr>
                <w:rFonts w:asciiTheme="minorHAnsi" w:eastAsiaTheme="minorEastAsia" w:hAnsiTheme="minorHAnsi" w:cstheme="minorBidi"/>
                <w:color w:val="000000" w:themeColor="text1"/>
                <w:sz w:val="24"/>
                <w:szCs w:val="24"/>
              </w:rPr>
              <w:t xml:space="preserve">W Polsce brakuje rozwiązań wspierających osoby z niepełnosprawnościami w korzystaniu ze zdolności do czynności prawnych. Sąd Najwyższy w uchwale z 21 grudnia 2017 r. (III CZP 66/17) za trafne uznał stanowisko, że w związku z zaniechaniem prac legislacyjnych nad eliminacją instytucji ubezwłasnowolnienia i zmianą modelu opieki nad osobami z niepełnosprawnością intelektualną, ciężar adaptacji polskiego porządku prawnego do standardów konwencyjnych spoczął na sądach (por. uchwały Sądu Najwyższego z dnia 26 lutego 2015 r., III CZP 102/14, OSNC 2015, nr 12, poz. 13 i z dnia 28 września 2016 r., III CZP 38/16, Biul. SN 2016, nr 9, s. 9). </w:t>
            </w:r>
          </w:p>
          <w:p w14:paraId="00A73E7A" w14:textId="77777777" w:rsidR="005A380C" w:rsidRPr="00B37C80" w:rsidRDefault="005A380C" w:rsidP="005A380C">
            <w:pPr>
              <w:spacing w:line="240" w:lineRule="auto"/>
              <w:jc w:val="both"/>
              <w:rPr>
                <w:rFonts w:asciiTheme="minorHAnsi" w:eastAsiaTheme="minorEastAsia" w:hAnsiTheme="minorHAnsi" w:cstheme="minorBidi"/>
                <w:color w:val="000000" w:themeColor="text1"/>
                <w:sz w:val="24"/>
                <w:szCs w:val="24"/>
              </w:rPr>
            </w:pPr>
            <w:r w:rsidRPr="0C94E1DF">
              <w:rPr>
                <w:rFonts w:asciiTheme="minorHAnsi" w:eastAsiaTheme="minorEastAsia" w:hAnsiTheme="minorHAnsi" w:cstheme="minorBidi"/>
                <w:color w:val="000000" w:themeColor="text1"/>
                <w:sz w:val="24"/>
                <w:szCs w:val="24"/>
              </w:rPr>
              <w:t xml:space="preserve">Oceniając w dniach 4-5 września 2018 r. Sprawozdanie Polski z działań podjętych w celu wdrożenia Konwencji, Komitet ds. Praw Osób z Niepełnosprawnościami wezwał Polskę do wycofania oświadczenia interpretacyjnego do art. 12 Konwencji oraz do uchylenia wszystkich dyskryminujących przepisów Kodeksu cywilnego i innych aktów prawnych umożliwiających pozbawienie osób z niepełnosprawnościami zdolności do czynności prawnych, biorąc pod uwagę, że </w:t>
            </w:r>
            <w:proofErr w:type="spellStart"/>
            <w:r w:rsidRPr="0C94E1DF">
              <w:rPr>
                <w:rFonts w:asciiTheme="minorHAnsi" w:eastAsiaTheme="minorEastAsia" w:hAnsiTheme="minorHAnsi" w:cstheme="minorBidi"/>
                <w:color w:val="000000" w:themeColor="text1"/>
                <w:sz w:val="24"/>
                <w:szCs w:val="24"/>
              </w:rPr>
              <w:t>legal</w:t>
            </w:r>
            <w:proofErr w:type="spellEnd"/>
            <w:r w:rsidRPr="0C94E1DF">
              <w:rPr>
                <w:rFonts w:asciiTheme="minorHAnsi" w:eastAsiaTheme="minorEastAsia" w:hAnsiTheme="minorHAnsi" w:cstheme="minorBidi"/>
                <w:color w:val="000000" w:themeColor="text1"/>
                <w:sz w:val="24"/>
                <w:szCs w:val="24"/>
              </w:rPr>
              <w:t xml:space="preserve"> </w:t>
            </w:r>
            <w:proofErr w:type="spellStart"/>
            <w:r w:rsidRPr="0C94E1DF">
              <w:rPr>
                <w:rFonts w:asciiTheme="minorHAnsi" w:eastAsiaTheme="minorEastAsia" w:hAnsiTheme="minorHAnsi" w:cstheme="minorBidi"/>
                <w:color w:val="000000" w:themeColor="text1"/>
                <w:sz w:val="24"/>
                <w:szCs w:val="24"/>
              </w:rPr>
              <w:t>capacity</w:t>
            </w:r>
            <w:proofErr w:type="spellEnd"/>
            <w:r w:rsidRPr="0C94E1DF">
              <w:rPr>
                <w:rFonts w:asciiTheme="minorHAnsi" w:eastAsiaTheme="minorEastAsia" w:hAnsiTheme="minorHAnsi" w:cstheme="minorBidi"/>
                <w:color w:val="000000" w:themeColor="text1"/>
                <w:sz w:val="24"/>
                <w:szCs w:val="24"/>
              </w:rPr>
              <w:t xml:space="preserve"> obejmuje zdolność bycia podmiotem praw oraz zdolność do czynności prawnych. Komitet zalecił także ustanowienie procedury mającej na celu przywrócenie pełnej zdolności do czynności prawnych wszystkich osób z niepełnosprawnościami oraz przyjęcie mechanizmów wspieranego podejmowania decyzji, które szanują autonomię, wolę i preferencje danej osoby (</w:t>
            </w:r>
            <w:proofErr w:type="spellStart"/>
            <w:r w:rsidRPr="0C94E1DF">
              <w:rPr>
                <w:rFonts w:asciiTheme="minorHAnsi" w:eastAsiaTheme="minorEastAsia" w:hAnsiTheme="minorHAnsi" w:cstheme="minorBidi"/>
                <w:color w:val="000000" w:themeColor="text1"/>
                <w:sz w:val="24"/>
                <w:szCs w:val="24"/>
              </w:rPr>
              <w:t>Concluding</w:t>
            </w:r>
            <w:proofErr w:type="spellEnd"/>
            <w:r w:rsidRPr="0C94E1DF">
              <w:rPr>
                <w:rFonts w:asciiTheme="minorHAnsi" w:eastAsiaTheme="minorEastAsia" w:hAnsiTheme="minorHAnsi" w:cstheme="minorBidi"/>
                <w:color w:val="000000" w:themeColor="text1"/>
                <w:sz w:val="24"/>
                <w:szCs w:val="24"/>
              </w:rPr>
              <w:t xml:space="preserve"> </w:t>
            </w:r>
            <w:proofErr w:type="spellStart"/>
            <w:r w:rsidRPr="0C94E1DF">
              <w:rPr>
                <w:rFonts w:asciiTheme="minorHAnsi" w:eastAsiaTheme="minorEastAsia" w:hAnsiTheme="minorHAnsi" w:cstheme="minorBidi"/>
                <w:color w:val="000000" w:themeColor="text1"/>
                <w:sz w:val="24"/>
                <w:szCs w:val="24"/>
              </w:rPr>
              <w:t>observations</w:t>
            </w:r>
            <w:proofErr w:type="spellEnd"/>
            <w:r w:rsidRPr="0C94E1DF">
              <w:rPr>
                <w:rFonts w:asciiTheme="minorHAnsi" w:eastAsiaTheme="minorEastAsia" w:hAnsiTheme="minorHAnsi" w:cstheme="minorBidi"/>
                <w:color w:val="000000" w:themeColor="text1"/>
                <w:sz w:val="24"/>
                <w:szCs w:val="24"/>
              </w:rPr>
              <w:t xml:space="preserve"> on the </w:t>
            </w:r>
            <w:proofErr w:type="spellStart"/>
            <w:r w:rsidRPr="0C94E1DF">
              <w:rPr>
                <w:rFonts w:asciiTheme="minorHAnsi" w:eastAsiaTheme="minorEastAsia" w:hAnsiTheme="minorHAnsi" w:cstheme="minorBidi"/>
                <w:color w:val="000000" w:themeColor="text1"/>
                <w:sz w:val="24"/>
                <w:szCs w:val="24"/>
              </w:rPr>
              <w:t>initial</w:t>
            </w:r>
            <w:proofErr w:type="spellEnd"/>
            <w:r w:rsidRPr="0C94E1DF">
              <w:rPr>
                <w:rFonts w:asciiTheme="minorHAnsi" w:eastAsiaTheme="minorEastAsia" w:hAnsiTheme="minorHAnsi" w:cstheme="minorBidi"/>
                <w:color w:val="000000" w:themeColor="text1"/>
                <w:sz w:val="24"/>
                <w:szCs w:val="24"/>
              </w:rPr>
              <w:t xml:space="preserve"> report of Poland CRPD/C/POL/CO/1, 21 września 2018 </w:t>
            </w:r>
            <w:proofErr w:type="gramStart"/>
            <w:r w:rsidRPr="0C94E1DF">
              <w:rPr>
                <w:rFonts w:asciiTheme="minorHAnsi" w:eastAsiaTheme="minorEastAsia" w:hAnsiTheme="minorHAnsi" w:cstheme="minorBidi"/>
                <w:color w:val="000000" w:themeColor="text1"/>
                <w:sz w:val="24"/>
                <w:szCs w:val="24"/>
              </w:rPr>
              <w:t>r.,www.ohchr.org</w:t>
            </w:r>
            <w:proofErr w:type="gramEnd"/>
            <w:r w:rsidRPr="0C94E1DF">
              <w:rPr>
                <w:rFonts w:asciiTheme="minorHAnsi" w:eastAsiaTheme="minorEastAsia" w:hAnsiTheme="minorHAnsi" w:cstheme="minorBidi"/>
                <w:color w:val="000000" w:themeColor="text1"/>
                <w:sz w:val="24"/>
                <w:szCs w:val="24"/>
              </w:rPr>
              <w:t>).</w:t>
            </w:r>
          </w:p>
          <w:p w14:paraId="2B146F71" w14:textId="77777777" w:rsidR="005A380C" w:rsidRPr="00B37C80" w:rsidRDefault="005A380C" w:rsidP="005A380C">
            <w:pPr>
              <w:spacing w:line="240" w:lineRule="auto"/>
              <w:jc w:val="both"/>
              <w:rPr>
                <w:rFonts w:asciiTheme="minorHAnsi" w:eastAsiaTheme="minorEastAsia" w:hAnsiTheme="minorHAnsi" w:cstheme="minorBidi"/>
                <w:color w:val="000000" w:themeColor="text1"/>
                <w:sz w:val="24"/>
                <w:szCs w:val="24"/>
              </w:rPr>
            </w:pPr>
            <w:r w:rsidRPr="0C94E1DF">
              <w:rPr>
                <w:rFonts w:asciiTheme="minorHAnsi" w:eastAsiaTheme="minorEastAsia" w:hAnsiTheme="minorHAnsi" w:cstheme="minorBidi"/>
                <w:color w:val="000000" w:themeColor="text1"/>
                <w:sz w:val="24"/>
                <w:szCs w:val="24"/>
              </w:rPr>
              <w:t xml:space="preserve">Projektowane przepisy uwzględniają także stanowisko Europejskiego Trybunału Praw Człowieka, wyrażone w wyrokach </w:t>
            </w:r>
            <w:proofErr w:type="spellStart"/>
            <w:r w:rsidRPr="0C94E1DF">
              <w:rPr>
                <w:rFonts w:asciiTheme="minorHAnsi" w:eastAsiaTheme="minorEastAsia" w:hAnsiTheme="minorHAnsi" w:cstheme="minorBidi"/>
                <w:color w:val="000000" w:themeColor="text1"/>
                <w:sz w:val="24"/>
                <w:szCs w:val="24"/>
              </w:rPr>
              <w:t>Shtukaturov</w:t>
            </w:r>
            <w:proofErr w:type="spellEnd"/>
            <w:r w:rsidRPr="0C94E1DF">
              <w:rPr>
                <w:rFonts w:asciiTheme="minorHAnsi" w:eastAsiaTheme="minorEastAsia" w:hAnsiTheme="minorHAnsi" w:cstheme="minorBidi"/>
                <w:color w:val="000000" w:themeColor="text1"/>
                <w:sz w:val="24"/>
                <w:szCs w:val="24"/>
              </w:rPr>
              <w:t xml:space="preserve"> przeciwko Rosji, skarga Nr 44009/05, </w:t>
            </w:r>
            <w:proofErr w:type="spellStart"/>
            <w:r w:rsidRPr="0C94E1DF">
              <w:rPr>
                <w:rFonts w:asciiTheme="minorHAnsi" w:eastAsiaTheme="minorEastAsia" w:hAnsiTheme="minorHAnsi" w:cstheme="minorBidi"/>
                <w:color w:val="000000" w:themeColor="text1"/>
                <w:sz w:val="24"/>
                <w:szCs w:val="24"/>
              </w:rPr>
              <w:t>Lashin</w:t>
            </w:r>
            <w:proofErr w:type="spellEnd"/>
            <w:r w:rsidRPr="0C94E1DF">
              <w:rPr>
                <w:rFonts w:asciiTheme="minorHAnsi" w:eastAsiaTheme="minorEastAsia" w:hAnsiTheme="minorHAnsi" w:cstheme="minorBidi"/>
                <w:color w:val="000000" w:themeColor="text1"/>
                <w:sz w:val="24"/>
                <w:szCs w:val="24"/>
              </w:rPr>
              <w:t xml:space="preserve"> przeciwko Rosji, skarga 33117/02, X i Y przeciwko Chorwacji, skarga Nr 5193/09, </w:t>
            </w:r>
            <w:proofErr w:type="spellStart"/>
            <w:r w:rsidRPr="0C94E1DF">
              <w:rPr>
                <w:rFonts w:asciiTheme="minorHAnsi" w:eastAsiaTheme="minorEastAsia" w:hAnsiTheme="minorHAnsi" w:cstheme="minorBidi"/>
                <w:color w:val="000000" w:themeColor="text1"/>
                <w:sz w:val="24"/>
                <w:szCs w:val="24"/>
              </w:rPr>
              <w:t>Alajos</w:t>
            </w:r>
            <w:proofErr w:type="spellEnd"/>
            <w:r w:rsidRPr="0C94E1DF">
              <w:rPr>
                <w:rFonts w:asciiTheme="minorHAnsi" w:eastAsiaTheme="minorEastAsia" w:hAnsiTheme="minorHAnsi" w:cstheme="minorBidi"/>
                <w:color w:val="000000" w:themeColor="text1"/>
                <w:sz w:val="24"/>
                <w:szCs w:val="24"/>
              </w:rPr>
              <w:t xml:space="preserve"> Kiss przeciwko Węgrom, skarga Nr 38832/06, Kędzior v. Polska, skarga nr 45026/07, </w:t>
            </w:r>
            <w:proofErr w:type="spellStart"/>
            <w:r w:rsidRPr="0C94E1DF">
              <w:rPr>
                <w:rFonts w:asciiTheme="minorHAnsi" w:eastAsiaTheme="minorEastAsia" w:hAnsiTheme="minorHAnsi" w:cstheme="minorBidi"/>
                <w:color w:val="000000" w:themeColor="text1"/>
                <w:sz w:val="24"/>
                <w:szCs w:val="24"/>
              </w:rPr>
              <w:t>Stanev</w:t>
            </w:r>
            <w:proofErr w:type="spellEnd"/>
            <w:r w:rsidRPr="0C94E1DF">
              <w:rPr>
                <w:rFonts w:asciiTheme="minorHAnsi" w:eastAsiaTheme="minorEastAsia" w:hAnsiTheme="minorHAnsi" w:cstheme="minorBidi"/>
                <w:color w:val="000000" w:themeColor="text1"/>
                <w:sz w:val="24"/>
                <w:szCs w:val="24"/>
              </w:rPr>
              <w:t xml:space="preserve"> przeciwko Bułgarii, skarga nr 36760/06. </w:t>
            </w:r>
          </w:p>
          <w:p w14:paraId="4A040078" w14:textId="77777777" w:rsidR="005A380C" w:rsidRPr="00B37C80" w:rsidRDefault="005A380C" w:rsidP="005A380C">
            <w:pPr>
              <w:spacing w:line="240" w:lineRule="auto"/>
              <w:jc w:val="both"/>
              <w:rPr>
                <w:rFonts w:asciiTheme="minorHAnsi" w:eastAsiaTheme="minorEastAsia" w:hAnsiTheme="minorHAnsi" w:cstheme="minorBidi"/>
                <w:color w:val="000000" w:themeColor="text1"/>
                <w:sz w:val="24"/>
                <w:szCs w:val="24"/>
              </w:rPr>
            </w:pPr>
            <w:r w:rsidRPr="0C94E1DF">
              <w:rPr>
                <w:rFonts w:asciiTheme="minorHAnsi" w:eastAsiaTheme="minorEastAsia" w:hAnsiTheme="minorHAnsi" w:cstheme="minorBidi"/>
                <w:color w:val="000000" w:themeColor="text1"/>
                <w:sz w:val="24"/>
                <w:szCs w:val="24"/>
              </w:rPr>
              <w:t>Projekt przepisów w zakresie korzystania ze zdolności do czynności prawnych stanowi także realizację Strategii na rzecz Osób z Niepełnosprawnościami 2021-2030, Działanie I. 2.2. pt. „Zastąpienie instytucji ubezwłasnowolnienia modelem wspieranego podejmowania decyzji”.</w:t>
            </w:r>
          </w:p>
          <w:p w14:paraId="1692C656" w14:textId="77777777" w:rsidR="005A380C" w:rsidRPr="00B37C80" w:rsidRDefault="005A380C" w:rsidP="005A380C">
            <w:pPr>
              <w:spacing w:line="240" w:lineRule="auto"/>
              <w:jc w:val="both"/>
              <w:rPr>
                <w:rFonts w:ascii="Times New Roman" w:hAnsi="Times New Roman"/>
                <w:color w:val="000000" w:themeColor="text1"/>
              </w:rPr>
            </w:pPr>
          </w:p>
          <w:p w14:paraId="17CF9F05" w14:textId="77777777" w:rsidR="005A380C" w:rsidRPr="00B37C80" w:rsidRDefault="005A380C" w:rsidP="005A380C">
            <w:pPr>
              <w:spacing w:line="240" w:lineRule="auto"/>
              <w:jc w:val="both"/>
              <w:rPr>
                <w:rFonts w:ascii="Times New Roman" w:hAnsi="Times New Roman"/>
                <w:color w:val="000000"/>
              </w:rPr>
            </w:pPr>
          </w:p>
          <w:p w14:paraId="13144B20" w14:textId="77777777" w:rsidR="005A380C" w:rsidRPr="00B37C80" w:rsidRDefault="005A380C" w:rsidP="005A380C">
            <w:pPr>
              <w:spacing w:line="240" w:lineRule="auto"/>
              <w:jc w:val="both"/>
              <w:rPr>
                <w:rFonts w:ascii="Times New Roman" w:hAnsi="Times New Roman"/>
                <w:color w:val="000000"/>
              </w:rPr>
            </w:pPr>
          </w:p>
          <w:p w14:paraId="0E27B00A" w14:textId="77777777" w:rsidR="005A380C" w:rsidRPr="00B37C80" w:rsidRDefault="005A380C" w:rsidP="005A380C">
            <w:pPr>
              <w:spacing w:line="240" w:lineRule="auto"/>
              <w:jc w:val="both"/>
              <w:rPr>
                <w:rFonts w:ascii="Times New Roman" w:hAnsi="Times New Roman"/>
                <w:color w:val="000000"/>
              </w:rPr>
            </w:pPr>
          </w:p>
        </w:tc>
      </w:tr>
      <w:tr w:rsidR="005A380C" w:rsidRPr="008B4FE6" w14:paraId="0A53011D" w14:textId="77777777" w:rsidTr="003A573A">
        <w:trPr>
          <w:trHeight w:val="142"/>
        </w:trPr>
        <w:tc>
          <w:tcPr>
            <w:tcW w:w="5000" w:type="pct"/>
            <w:gridSpan w:val="20"/>
            <w:shd w:val="clear" w:color="auto" w:fill="99CCFF"/>
            <w:vAlign w:val="center"/>
          </w:tcPr>
          <w:p w14:paraId="01DD8BBC" w14:textId="77777777" w:rsidR="005A380C" w:rsidRPr="008B4FE6" w:rsidRDefault="005A380C" w:rsidP="005A380C">
            <w:pPr>
              <w:numPr>
                <w:ilvl w:val="0"/>
                <w:numId w:val="4"/>
              </w:numPr>
              <w:spacing w:before="60" w:after="60" w:line="240" w:lineRule="auto"/>
              <w:ind w:left="318" w:hanging="284"/>
              <w:jc w:val="both"/>
              <w:rPr>
                <w:rFonts w:ascii="Times New Roman" w:hAnsi="Times New Roman"/>
                <w:b/>
                <w:color w:val="000000"/>
              </w:rPr>
            </w:pPr>
            <w:r w:rsidRPr="001A5FDA">
              <w:rPr>
                <w:rFonts w:ascii="Times New Roman" w:hAnsi="Times New Roman"/>
                <w:b/>
                <w:color w:val="000000"/>
                <w:spacing w:val="-2"/>
              </w:rPr>
              <w:lastRenderedPageBreak/>
              <w:t>Rekomendowane rozwiązanie</w:t>
            </w:r>
            <w:r>
              <w:rPr>
                <w:rFonts w:ascii="Times New Roman" w:hAnsi="Times New Roman"/>
                <w:b/>
                <w:color w:val="000000"/>
                <w:spacing w:val="-2"/>
              </w:rPr>
              <w:t>,</w:t>
            </w:r>
            <w:r w:rsidRPr="001A5FDA">
              <w:rPr>
                <w:rFonts w:ascii="Times New Roman" w:hAnsi="Times New Roman"/>
                <w:b/>
                <w:color w:val="000000"/>
                <w:spacing w:val="-2"/>
              </w:rPr>
              <w:t xml:space="preserve"> w tym planowane narzędzia </w:t>
            </w:r>
            <w:proofErr w:type="gramStart"/>
            <w:r w:rsidRPr="001A5FDA">
              <w:rPr>
                <w:rFonts w:ascii="Times New Roman" w:hAnsi="Times New Roman"/>
                <w:b/>
                <w:color w:val="000000"/>
                <w:spacing w:val="-2"/>
              </w:rPr>
              <w:t>interwencji</w:t>
            </w:r>
            <w:r>
              <w:rPr>
                <w:rFonts w:ascii="Times New Roman" w:hAnsi="Times New Roman"/>
                <w:b/>
                <w:color w:val="000000"/>
                <w:spacing w:val="-2"/>
              </w:rPr>
              <w:t>,</w:t>
            </w:r>
            <w:proofErr w:type="gramEnd"/>
            <w:r w:rsidRPr="001A5FDA">
              <w:rPr>
                <w:rFonts w:ascii="Times New Roman" w:hAnsi="Times New Roman"/>
                <w:b/>
                <w:color w:val="000000"/>
                <w:spacing w:val="-2"/>
              </w:rPr>
              <w:t xml:space="preserve"> i oczekiwany efekt</w:t>
            </w:r>
          </w:p>
        </w:tc>
      </w:tr>
      <w:tr w:rsidR="005A380C" w:rsidRPr="008B4FE6" w14:paraId="60061E4C" w14:textId="77777777" w:rsidTr="003A573A">
        <w:trPr>
          <w:trHeight w:val="5250"/>
        </w:trPr>
        <w:tc>
          <w:tcPr>
            <w:tcW w:w="5000" w:type="pct"/>
            <w:gridSpan w:val="20"/>
            <w:shd w:val="clear" w:color="auto" w:fill="auto"/>
          </w:tcPr>
          <w:p w14:paraId="5C785998" w14:textId="77777777" w:rsidR="005A380C" w:rsidRDefault="005A380C" w:rsidP="005A380C">
            <w:pPr>
              <w:spacing w:line="240" w:lineRule="auto"/>
              <w:jc w:val="both"/>
              <w:rPr>
                <w:rFonts w:ascii="Times New Roman" w:hAnsi="Times New Roman"/>
                <w:color w:val="000000" w:themeColor="text1"/>
              </w:rPr>
            </w:pPr>
          </w:p>
          <w:p w14:paraId="1C5E6C05" w14:textId="77777777" w:rsidR="005A380C" w:rsidRDefault="005A380C" w:rsidP="005A380C">
            <w:pPr>
              <w:spacing w:line="240" w:lineRule="auto"/>
              <w:jc w:val="both"/>
              <w:rPr>
                <w:rFonts w:ascii="Times New Roman" w:hAnsi="Times New Roman"/>
                <w:color w:val="000000" w:themeColor="text1"/>
              </w:rPr>
            </w:pPr>
          </w:p>
          <w:p w14:paraId="4363EA24" w14:textId="77777777" w:rsidR="005A380C" w:rsidRDefault="005A380C" w:rsidP="005A380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Projektowane przepisy zakładają w szczególności likwidację instytucji ubezwłasnowolnienia i wprowadzenie nowych instrumentów wsparcia w korzystaniu ze zdolności do czynności prawnych opartych na modelu wspieranego podejmowania decyzji, w miejsce tzw. zastępczego podejmowania decyzji. Projektowane przepisy wpisują się w rozwiązania projektu ustawy o wyrównywaniu szans osób z niepełnosprawnościami (“</w:t>
            </w:r>
            <w:r>
              <w:rPr>
                <w:rStyle w:val="normaltextrun"/>
                <w:rFonts w:ascii="Calibri" w:hAnsi="Calibri" w:cs="Calibri"/>
              </w:rPr>
              <w:t>Opracowanie projektu ustawy wdrażającej Konwencję o prawach osób niepełnosprawnych o proponowanej nazwie: Ustawa o wyrównywaniu szans osób z niepełnosprawnościami wraz z Oceną Skutków Regulacji i uzasadnieniem, jak też propozycji zmian legislacyjnych podążających za nową ustawą”, Projekt realizowany jest jako Działanie 43 Programu Dostępność Plus Spójna polityka społeczna na rzecz dostępności).</w:t>
            </w:r>
            <w:r>
              <w:rPr>
                <w:rStyle w:val="eop"/>
                <w:rFonts w:ascii="Calibri" w:hAnsi="Calibri" w:cs="Calibri"/>
              </w:rPr>
              <w:t> </w:t>
            </w:r>
          </w:p>
          <w:p w14:paraId="6B1A4D81" w14:textId="77777777" w:rsidR="005A380C" w:rsidRDefault="005A380C" w:rsidP="005A380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Założeniem projektu przepisów jest utworzenie systemu wsparcia w podejmowaniu decyzji o znaczeniu prawnym w ramach asysty prawnej, pełnomocnictwa wspierającego i pełnomocnictwa na przyszłość. Podstawowym założeniem proponowanych rozwiązań jest brak pozbawienia lub ograniczenia zdolności do czynności prawnych osoby wspieranej, pełne urzeczywistnienie jej woli i wspieranie w podejmowaniu decyzji. Realizacja powyższych rozwiązań wymaga uchylenia jednej z podstawowych dotychczas instytucji prawa cywilnego, tj. Ubezwłasnowolnienia. Asysta prawna, pełnomocnictwo wspierające i pełnomocnictwo na przyszłość stanowią nowe instrumenty wsparcia, nieprzewidziane dotąd w systemie prawa polskiego, których wprowadzenie stanowi realizację zobowiązań międzynarodowych, w tym przede wszystkim wdrożenie art. 12 Konwencji o prawach osób z niepełnosprawnościami wraz z wytycznymi Komitetu ds. Praw osób z Niepełnosprawnościami. </w:t>
            </w:r>
            <w:r>
              <w:rPr>
                <w:rStyle w:val="eop"/>
                <w:rFonts w:ascii="Calibri" w:hAnsi="Calibri" w:cs="Calibri"/>
                <w:color w:val="000000"/>
              </w:rPr>
              <w:t> </w:t>
            </w:r>
          </w:p>
          <w:p w14:paraId="6B1C3350" w14:textId="77777777" w:rsidR="005A380C" w:rsidRDefault="005A380C" w:rsidP="005A380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 xml:space="preserve">Asysta prawna ustanawiana jest na podstawie umowy pomiędzy użytkownikiem asysty prawnej a asystentem prawnym albo na podstawie postanowienia sądu. Rolą asystenta prawnego jest wspieranie użytkownika asysty prawnej w korzystaniu ze zdolności do czynności prawnych, w szczególności </w:t>
            </w:r>
            <w:r>
              <w:rPr>
                <w:rStyle w:val="normaltextrun"/>
                <w:rFonts w:ascii="Calibri" w:hAnsi="Calibri" w:cs="Calibri"/>
              </w:rPr>
              <w:t>pomoc w zrozumieniu przedmiotu i znaczenia podejmowanej przez użytkownika czynności prawnej,</w:t>
            </w:r>
            <w:r>
              <w:rPr>
                <w:rStyle w:val="normaltextrun"/>
                <w:rFonts w:ascii="Calibri" w:hAnsi="Calibri" w:cs="Calibri"/>
                <w:color w:val="000000"/>
              </w:rPr>
              <w:t xml:space="preserve"> </w:t>
            </w:r>
            <w:r>
              <w:rPr>
                <w:rStyle w:val="normaltextrun"/>
                <w:rFonts w:ascii="Calibri" w:hAnsi="Calibri" w:cs="Calibri"/>
              </w:rPr>
              <w:t>możliwych do przewidzenia skutków tej czynności, ale także ujawnianie jego oświadczenia woli. Co ważne, a</w:t>
            </w:r>
            <w:r>
              <w:rPr>
                <w:rStyle w:val="normaltextrun"/>
                <w:rFonts w:ascii="Calibri" w:hAnsi="Calibri" w:cs="Calibri"/>
                <w:color w:val="000000"/>
              </w:rPr>
              <w:t>systent prawny jest ustanawiany dla osoby, która chce brać czynny udział w obrocie prawnym, samodzielnie podejmować decyzje o znaczeniu prawnym, potrzebując jednak przy tym wsparcia – w uzyskiwaniu, zrozumieniu czy zapamiętaniu informacji o znaczeniu prawnym, przeprowadzenia procesu decyzyjnego lub zakomunikowania podjętej decyzji oraz jej realizacji.</w:t>
            </w:r>
            <w:r>
              <w:rPr>
                <w:rStyle w:val="normaltextrun"/>
                <w:rFonts w:ascii="Calibri" w:hAnsi="Calibri" w:cs="Calibri"/>
              </w:rPr>
              <w:t> </w:t>
            </w:r>
            <w:r>
              <w:rPr>
                <w:rStyle w:val="eop"/>
                <w:rFonts w:ascii="Calibri" w:hAnsi="Calibri" w:cs="Calibri"/>
              </w:rPr>
              <w:t> </w:t>
            </w:r>
          </w:p>
          <w:p w14:paraId="33E9822B" w14:textId="77777777" w:rsidR="005A380C" w:rsidRDefault="005A380C" w:rsidP="005A380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Pełnomocnik wspierający ustanawiany jest</w:t>
            </w:r>
            <w:r>
              <w:rPr>
                <w:rStyle w:val="normaltextrun"/>
                <w:rFonts w:ascii="Calibri" w:hAnsi="Calibri" w:cs="Calibri"/>
              </w:rPr>
              <w:t xml:space="preserve"> tylko przez sąd, gdy osoba potrzebująca wsparcia w korzystaniu ze zdolności do czynności prawnych nie jest w stanie złożyć oświadczenia woli lub z którą brak jest jakiegokolwiek kontaktu nawet przy zastosowaniu komunikacji wspomagającej i alternatywnej (AAC), a istnieje jednocześnie potrzeba podjęcia określonych czynności prawnych na jej rzecz lub w jej imieniu. </w:t>
            </w:r>
            <w:r>
              <w:rPr>
                <w:rStyle w:val="eop"/>
                <w:rFonts w:ascii="Calibri" w:hAnsi="Calibri" w:cs="Calibri"/>
              </w:rPr>
              <w:t> </w:t>
            </w:r>
          </w:p>
          <w:p w14:paraId="20337A13" w14:textId="77777777" w:rsidR="005A380C" w:rsidRDefault="005A380C" w:rsidP="005A380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Dodatkowo, projektowane przepisy przewidują możliwość wyznaczania pełnomocnika na przyszłość, którego uprawnienia do reprezentacji osoby potrzebującej wsparcia wejdą w życie w momencie utraty przez mocodawcę faktycznej zdolności do składania oświadczeń woli. Akt pełnomocnictwa na przyszłość sporządza notariusz, który</w:t>
            </w:r>
            <w:r>
              <w:rPr>
                <w:rStyle w:val="normaltextrun"/>
                <w:rFonts w:ascii="Calibri" w:hAnsi="Calibri" w:cs="Calibri"/>
              </w:rPr>
              <w:t xml:space="preserve"> dokonuje następnie wpisu pełnomocnictwa do Rejestru Pełnomocnictw na Przyszłość, prowadzonego przez Krajową Radę Notariatu.</w:t>
            </w:r>
            <w:r>
              <w:rPr>
                <w:rStyle w:val="eop"/>
                <w:rFonts w:ascii="Calibri" w:hAnsi="Calibri" w:cs="Calibri"/>
              </w:rPr>
              <w:t> </w:t>
            </w:r>
          </w:p>
          <w:p w14:paraId="71DEE532" w14:textId="77777777" w:rsidR="005A380C" w:rsidRDefault="005A380C" w:rsidP="005A380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 xml:space="preserve">Wszystkie proponowane rozwiązania oparte są na zasadzie prymatu woli osoby korzystającej ze wsparcia, </w:t>
            </w:r>
            <w:proofErr w:type="gramStart"/>
            <w:r>
              <w:rPr>
                <w:rStyle w:val="normaltextrun"/>
                <w:rFonts w:ascii="Calibri" w:hAnsi="Calibri" w:cs="Calibri"/>
                <w:color w:val="000000"/>
              </w:rPr>
              <w:t>wykładni</w:t>
            </w:r>
            <w:proofErr w:type="gramEnd"/>
            <w:r>
              <w:rPr>
                <w:rStyle w:val="normaltextrun"/>
                <w:rFonts w:ascii="Calibri" w:hAnsi="Calibri" w:cs="Calibri"/>
                <w:color w:val="000000"/>
              </w:rPr>
              <w:t xml:space="preserve"> której dokonuje się </w:t>
            </w:r>
            <w:r>
              <w:rPr>
                <w:rStyle w:val="normaltextrun"/>
                <w:rFonts w:ascii="Calibri" w:hAnsi="Calibri" w:cs="Calibri"/>
              </w:rPr>
              <w:t>biorąc pod uwagę całokształt znanych okoliczności, w tym historię życia tej osoby, poprzednie oświadczenia woli w podobnych kontekstach, informacje dostępne dla osób, do których użytkownik asysty prawnej lub pełnomocnictwa wspierającego lub mocodawca ma zaufanie, uwzględnienie jego preferencji oraz wszelkie inne względy istotne w danym przypadku.</w:t>
            </w:r>
            <w:r>
              <w:rPr>
                <w:rStyle w:val="eop"/>
                <w:rFonts w:ascii="Calibri" w:hAnsi="Calibri" w:cs="Calibri"/>
              </w:rPr>
              <w:t> </w:t>
            </w:r>
          </w:p>
          <w:p w14:paraId="0F0B9525" w14:textId="77777777" w:rsidR="005A380C" w:rsidRDefault="005A380C" w:rsidP="005A380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 xml:space="preserve"> Projekt ustawy zawiera mechanizmy kontroli wykonywania asysty sądowej, pełnomocnictwa </w:t>
            </w:r>
            <w:proofErr w:type="gramStart"/>
            <w:r>
              <w:rPr>
                <w:rStyle w:val="normaltextrun"/>
                <w:rFonts w:ascii="Calibri" w:hAnsi="Calibri" w:cs="Calibri"/>
                <w:color w:val="000000"/>
              </w:rPr>
              <w:t>wspierającego,  umożliwiając</w:t>
            </w:r>
            <w:proofErr w:type="gramEnd"/>
            <w:r>
              <w:rPr>
                <w:rStyle w:val="normaltextrun"/>
                <w:rFonts w:ascii="Calibri" w:hAnsi="Calibri" w:cs="Calibri"/>
                <w:color w:val="000000"/>
              </w:rPr>
              <w:t xml:space="preserve"> ich modyfikację lub uchylenie. </w:t>
            </w:r>
            <w:r>
              <w:rPr>
                <w:rStyle w:val="eop"/>
                <w:rFonts w:ascii="Calibri" w:hAnsi="Calibri" w:cs="Calibri"/>
                <w:color w:val="000000"/>
              </w:rPr>
              <w:t> </w:t>
            </w:r>
          </w:p>
          <w:p w14:paraId="4A656829" w14:textId="77777777" w:rsidR="005A380C" w:rsidRDefault="005A380C" w:rsidP="005A380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Sprawy dotyczące asysty prawnej oraz pełnomocnictwa wspierającego należą do właściwości sądów rejonowych, wydział cywilny, które rozpoznają je w składzie jednego sędziego.</w:t>
            </w:r>
            <w:r>
              <w:rPr>
                <w:rStyle w:val="eop"/>
                <w:rFonts w:ascii="Calibri" w:hAnsi="Calibri" w:cs="Calibri"/>
              </w:rPr>
              <w:t> </w:t>
            </w:r>
          </w:p>
          <w:p w14:paraId="2F59BDD2" w14:textId="77777777" w:rsidR="005A380C" w:rsidRDefault="005A380C" w:rsidP="005A380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Projekt przepisów zakłada pięcioletni okres przejściowy dla pełnego wejścia w życie przepisów dotyczących uchylenia wydanych wcześniej postanowień w przedmiocie ubezwłasnowolnienia całkowitego lub częściowego. W tym czasie będzie możliwe zastąpienia wydanych postanowień, stosownie do okoliczności faktycznych - asystą prawną lub pełnomocnictwem wspierającym.</w:t>
            </w:r>
            <w:r>
              <w:rPr>
                <w:rStyle w:val="normaltextrun"/>
                <w:rFonts w:ascii="Calibri" w:hAnsi="Calibri" w:cs="Calibri"/>
              </w:rPr>
              <w:t xml:space="preserve"> Opiekunowie prawni </w:t>
            </w:r>
            <w:proofErr w:type="gramStart"/>
            <w:r>
              <w:rPr>
                <w:rStyle w:val="normaltextrun"/>
                <w:rFonts w:ascii="Calibri" w:hAnsi="Calibri" w:cs="Calibri"/>
              </w:rPr>
              <w:t>kuratorzy  zostali</w:t>
            </w:r>
            <w:proofErr w:type="gramEnd"/>
            <w:r>
              <w:rPr>
                <w:rStyle w:val="normaltextrun"/>
                <w:rFonts w:ascii="Calibri" w:hAnsi="Calibri" w:cs="Calibri"/>
              </w:rPr>
              <w:t xml:space="preserve"> zobowiązani do złożenia do </w:t>
            </w:r>
            <w:r>
              <w:rPr>
                <w:rStyle w:val="normaltextrun"/>
                <w:rFonts w:ascii="Calibri" w:hAnsi="Calibri" w:cs="Calibri"/>
              </w:rPr>
              <w:lastRenderedPageBreak/>
              <w:t>sądu, bez zbędnej zwłoki, wniosek o ustanowienie asystenta prawnego albo pełnomocnika wspierającego dla reprezentowanej przez siebie osoby albo przekazania temu sądowi umowę o asystę prawną zawartą przez tę osobę. Z wnioskiem może również wystąpić prokurator lub organizacja pozarządowa.</w:t>
            </w:r>
            <w:r>
              <w:rPr>
                <w:rStyle w:val="eop"/>
                <w:rFonts w:ascii="Calibri" w:hAnsi="Calibri" w:cs="Calibri"/>
              </w:rPr>
              <w:t> </w:t>
            </w:r>
          </w:p>
          <w:p w14:paraId="20D3DB5C" w14:textId="77777777" w:rsidR="005A380C" w:rsidRDefault="005A380C" w:rsidP="005A380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Projekt przepisów zawiera również przepisy przejściowe, regulujące wydane już postanowienia o ubezwłasnowolnieniu oraz trwające postepowania sądowe w tym przedmiocie.</w:t>
            </w:r>
            <w:r>
              <w:rPr>
                <w:rStyle w:val="eop"/>
                <w:rFonts w:ascii="Calibri" w:hAnsi="Calibri" w:cs="Calibri"/>
                <w:color w:val="000000"/>
              </w:rPr>
              <w:t> </w:t>
            </w:r>
          </w:p>
          <w:p w14:paraId="7A93297E" w14:textId="77777777" w:rsidR="005A380C" w:rsidRDefault="005A380C" w:rsidP="005A380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rPr>
              <w:t> </w:t>
            </w:r>
          </w:p>
          <w:p w14:paraId="7AABB524" w14:textId="77777777" w:rsidR="005A380C" w:rsidRDefault="005A380C" w:rsidP="005A380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Narzędzia interwencji.</w:t>
            </w:r>
            <w:r>
              <w:rPr>
                <w:rStyle w:val="eop"/>
                <w:rFonts w:ascii="Calibri" w:hAnsi="Calibri" w:cs="Calibri"/>
                <w:color w:val="000000"/>
              </w:rPr>
              <w:t> </w:t>
            </w:r>
          </w:p>
          <w:p w14:paraId="28511559" w14:textId="77777777" w:rsidR="005A380C" w:rsidRDefault="005A380C" w:rsidP="005A380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 xml:space="preserve">Regulacje </w:t>
            </w:r>
            <w:proofErr w:type="gramStart"/>
            <w:r>
              <w:rPr>
                <w:rStyle w:val="normaltextrun"/>
                <w:rFonts w:ascii="Calibri" w:hAnsi="Calibri" w:cs="Calibri"/>
                <w:color w:val="000000"/>
              </w:rPr>
              <w:t>nowe :</w:t>
            </w:r>
            <w:proofErr w:type="gramEnd"/>
            <w:r>
              <w:rPr>
                <w:rStyle w:val="normaltextrun"/>
                <w:rFonts w:ascii="Calibri" w:hAnsi="Calibri" w:cs="Calibri"/>
                <w:color w:val="000000"/>
              </w:rPr>
              <w:t xml:space="preserve"> Ustawa o wyrównywaniu szans osób z niepełnosprawnościami</w:t>
            </w:r>
            <w:r>
              <w:rPr>
                <w:rStyle w:val="eop"/>
                <w:rFonts w:ascii="Calibri" w:hAnsi="Calibri" w:cs="Calibri"/>
                <w:color w:val="000000"/>
              </w:rPr>
              <w:t> </w:t>
            </w:r>
          </w:p>
          <w:p w14:paraId="49ACC721" w14:textId="77777777" w:rsidR="005A380C" w:rsidRDefault="005A380C" w:rsidP="005A380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Regulacje zmieniane:</w:t>
            </w:r>
            <w:r>
              <w:rPr>
                <w:rStyle w:val="eop"/>
                <w:rFonts w:ascii="Calibri" w:hAnsi="Calibri" w:cs="Calibri"/>
                <w:color w:val="000000"/>
              </w:rPr>
              <w:t> </w:t>
            </w:r>
          </w:p>
          <w:p w14:paraId="046027FD" w14:textId="77777777" w:rsidR="005A380C" w:rsidRDefault="005A380C" w:rsidP="005A380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-Ustawa Kodeks Cywilny </w:t>
            </w:r>
            <w:r>
              <w:rPr>
                <w:rStyle w:val="eop"/>
                <w:rFonts w:ascii="Calibri" w:hAnsi="Calibri" w:cs="Calibri"/>
                <w:color w:val="000000"/>
              </w:rPr>
              <w:t> </w:t>
            </w:r>
          </w:p>
          <w:p w14:paraId="77EAD712" w14:textId="77777777" w:rsidR="005A380C" w:rsidRDefault="005A380C" w:rsidP="005A380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-Ustawa Kodeks postępowania cywilnego</w:t>
            </w:r>
            <w:r>
              <w:rPr>
                <w:rStyle w:val="eop"/>
                <w:rFonts w:ascii="Calibri" w:hAnsi="Calibri" w:cs="Calibri"/>
                <w:color w:val="000000"/>
              </w:rPr>
              <w:t> </w:t>
            </w:r>
          </w:p>
          <w:p w14:paraId="0749B64B" w14:textId="77777777" w:rsidR="005A380C" w:rsidRDefault="005A380C" w:rsidP="005A380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-Ustawa Kodeks Rodzinny i Opiekuńczy</w:t>
            </w:r>
            <w:r>
              <w:rPr>
                <w:rStyle w:val="eop"/>
                <w:rFonts w:ascii="Calibri" w:hAnsi="Calibri" w:cs="Calibri"/>
                <w:color w:val="000000"/>
              </w:rPr>
              <w:t> </w:t>
            </w:r>
          </w:p>
          <w:p w14:paraId="31E30C53" w14:textId="77777777" w:rsidR="005A380C" w:rsidRDefault="005A380C" w:rsidP="005A380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-Ustawa o kosztach sądowych w sprawach cywilnych</w:t>
            </w:r>
            <w:r>
              <w:rPr>
                <w:rStyle w:val="eop"/>
                <w:rFonts w:ascii="Calibri" w:hAnsi="Calibri" w:cs="Calibri"/>
                <w:color w:val="000000"/>
              </w:rPr>
              <w:t> </w:t>
            </w:r>
          </w:p>
          <w:p w14:paraId="6E5CA504" w14:textId="77777777" w:rsidR="005A380C" w:rsidRDefault="005A380C" w:rsidP="005A380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-Ustawa prawo o notariacie</w:t>
            </w:r>
            <w:r>
              <w:rPr>
                <w:rStyle w:val="eop"/>
                <w:rFonts w:ascii="Calibri" w:hAnsi="Calibri" w:cs="Calibri"/>
                <w:color w:val="000000"/>
              </w:rPr>
              <w:t> </w:t>
            </w:r>
          </w:p>
          <w:p w14:paraId="733374A0" w14:textId="77777777" w:rsidR="005A380C" w:rsidRDefault="005A380C" w:rsidP="005A380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-Przepisy wykonawcze (zasady wynagradzania asystentów prawnych i pełnomocników wspierających, rejestr pełnomocników, asystentów, zakres sprawozdania asystenta, pełnomocnika)</w:t>
            </w:r>
            <w:r>
              <w:rPr>
                <w:rStyle w:val="eop"/>
                <w:rFonts w:ascii="Calibri" w:hAnsi="Calibri" w:cs="Calibri"/>
                <w:color w:val="000000"/>
              </w:rPr>
              <w:t> </w:t>
            </w:r>
          </w:p>
          <w:p w14:paraId="180E06CD" w14:textId="77777777" w:rsidR="005A380C" w:rsidRDefault="005A380C" w:rsidP="005A380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 Likwidacja instytucji ubezwłasnowolnienia oraz wprowadzenie proponowanych rozwiązań zapewnią zindywidualizowane wsparcie w korzystaniu ze zdolności do czynności prawnych, racjonalne, adekwatne do potrzeb wykorzystywanie zasobów osób wspierających, a przede wszystkim umożliwią każdej osobie podejmowanie decyzji, w najszerszym możliwym dla niej zakresie. Pełnomocnictwo wspierające zapewni możliwości reprezentacji osoby w konkretnej sytuacji, w której nie ma ona możliwości samodzielnego działania, bez pozbawienia jej zdolności do czynności prawnych. Proponowane rozwiązania przyczynią się też do zmiany świadomości na temat osób z niepełnosprawnością intelektualną i psychospołeczną, wpłyną na rozwój usług z zakresu edukacji prawnej i obywatelskiej dla tych grup osób i zwiększą aktywność tych osób w wielu sferach życia.</w:t>
            </w:r>
            <w:r>
              <w:rPr>
                <w:rStyle w:val="eop"/>
                <w:rFonts w:ascii="Calibri" w:hAnsi="Calibri" w:cs="Calibri"/>
                <w:color w:val="000000"/>
              </w:rPr>
              <w:t> </w:t>
            </w:r>
          </w:p>
          <w:p w14:paraId="004746C4" w14:textId="77777777" w:rsidR="005A380C" w:rsidRDefault="005A380C" w:rsidP="005A380C">
            <w:pPr>
              <w:spacing w:line="240" w:lineRule="auto"/>
              <w:jc w:val="both"/>
              <w:rPr>
                <w:rFonts w:ascii="Times New Roman" w:hAnsi="Times New Roman"/>
                <w:color w:val="000000" w:themeColor="text1"/>
              </w:rPr>
            </w:pPr>
          </w:p>
          <w:p w14:paraId="45780AA6" w14:textId="77777777" w:rsidR="005A380C" w:rsidRDefault="005A380C" w:rsidP="005A380C">
            <w:pPr>
              <w:spacing w:line="240" w:lineRule="auto"/>
              <w:jc w:val="both"/>
              <w:rPr>
                <w:rFonts w:ascii="Times New Roman" w:hAnsi="Times New Roman"/>
                <w:color w:val="000000" w:themeColor="text1"/>
              </w:rPr>
            </w:pPr>
          </w:p>
          <w:p w14:paraId="53128261" w14:textId="28100653" w:rsidR="005A380C" w:rsidRPr="00B37C80" w:rsidRDefault="005A380C" w:rsidP="005A380C">
            <w:pPr>
              <w:spacing w:line="240" w:lineRule="auto"/>
              <w:jc w:val="both"/>
              <w:rPr>
                <w:rFonts w:ascii="Times New Roman" w:hAnsi="Times New Roman"/>
                <w:color w:val="000000"/>
                <w:spacing w:val="-2"/>
              </w:rPr>
            </w:pPr>
          </w:p>
        </w:tc>
      </w:tr>
      <w:tr w:rsidR="005A380C" w:rsidRPr="008B4FE6" w14:paraId="5918BF52" w14:textId="77777777" w:rsidTr="003A573A">
        <w:trPr>
          <w:trHeight w:val="307"/>
        </w:trPr>
        <w:tc>
          <w:tcPr>
            <w:tcW w:w="5000" w:type="pct"/>
            <w:gridSpan w:val="20"/>
            <w:shd w:val="clear" w:color="auto" w:fill="99CCFF"/>
            <w:vAlign w:val="center"/>
          </w:tcPr>
          <w:p w14:paraId="33261D5D" w14:textId="77777777" w:rsidR="005A380C" w:rsidRPr="008B4FE6" w:rsidRDefault="005A380C" w:rsidP="005A380C">
            <w:pPr>
              <w:numPr>
                <w:ilvl w:val="0"/>
                <w:numId w:val="4"/>
              </w:numPr>
              <w:spacing w:before="60" w:after="60" w:line="240" w:lineRule="auto"/>
              <w:ind w:left="318" w:hanging="284"/>
              <w:jc w:val="both"/>
              <w:rPr>
                <w:rFonts w:ascii="Times New Roman" w:hAnsi="Times New Roman"/>
                <w:b/>
                <w:color w:val="000000"/>
              </w:rPr>
            </w:pPr>
            <w:r>
              <w:rPr>
                <w:rFonts w:ascii="Times New Roman" w:hAnsi="Times New Roman"/>
                <w:b/>
                <w:spacing w:val="-2"/>
              </w:rPr>
              <w:lastRenderedPageBreak/>
              <w:t>Jak problem został rozwiązany</w:t>
            </w:r>
            <w:r w:rsidRPr="001812C7">
              <w:rPr>
                <w:rFonts w:ascii="Times New Roman" w:hAnsi="Times New Roman"/>
                <w:b/>
                <w:spacing w:val="-2"/>
              </w:rPr>
              <w:t xml:space="preserve"> w innych krajach, w szczególności krajach członkowskich OECD/UE</w:t>
            </w:r>
            <w:r w:rsidRPr="008B4FE6">
              <w:rPr>
                <w:rFonts w:ascii="Times New Roman" w:hAnsi="Times New Roman"/>
                <w:b/>
                <w:color w:val="000000"/>
              </w:rPr>
              <w:t>?</w:t>
            </w:r>
            <w:r w:rsidRPr="008B4FE6">
              <w:rPr>
                <w:rFonts w:ascii="Times New Roman" w:hAnsi="Times New Roman"/>
                <w:i/>
                <w:color w:val="000000"/>
              </w:rPr>
              <w:t xml:space="preserve"> </w:t>
            </w:r>
          </w:p>
        </w:tc>
      </w:tr>
      <w:tr w:rsidR="005A380C" w:rsidRPr="008B4FE6" w14:paraId="62486C05" w14:textId="77777777" w:rsidTr="003A573A">
        <w:trPr>
          <w:trHeight w:val="142"/>
        </w:trPr>
        <w:tc>
          <w:tcPr>
            <w:tcW w:w="5000" w:type="pct"/>
            <w:gridSpan w:val="20"/>
            <w:shd w:val="clear" w:color="auto" w:fill="auto"/>
          </w:tcPr>
          <w:p w14:paraId="4101652C" w14:textId="025DE42D" w:rsidR="005A380C" w:rsidRPr="005A380C" w:rsidRDefault="005A380C" w:rsidP="005A380C">
            <w:pPr>
              <w:spacing w:line="240" w:lineRule="auto"/>
              <w:jc w:val="both"/>
              <w:rPr>
                <w:rFonts w:ascii="Times New Roman" w:hAnsi="Times New Roman"/>
                <w:color w:val="000000"/>
                <w:spacing w:val="-2"/>
                <w:sz w:val="24"/>
                <w:szCs w:val="24"/>
              </w:rPr>
            </w:pPr>
          </w:p>
          <w:p w14:paraId="69B91F1A" w14:textId="66521B86" w:rsidR="005A380C" w:rsidRPr="005A380C" w:rsidRDefault="005A380C" w:rsidP="005A380C">
            <w:pPr>
              <w:spacing w:line="240" w:lineRule="auto"/>
              <w:jc w:val="both"/>
              <w:rPr>
                <w:rFonts w:asciiTheme="minorHAnsi" w:eastAsiaTheme="minorEastAsia" w:hAnsiTheme="minorHAnsi" w:cstheme="minorBidi"/>
                <w:sz w:val="24"/>
                <w:szCs w:val="24"/>
              </w:rPr>
            </w:pPr>
            <w:r w:rsidRPr="005A380C">
              <w:rPr>
                <w:rFonts w:asciiTheme="minorHAnsi" w:eastAsiaTheme="minorEastAsia" w:hAnsiTheme="minorHAnsi" w:cstheme="minorBidi"/>
                <w:sz w:val="24"/>
                <w:szCs w:val="24"/>
              </w:rPr>
              <w:t xml:space="preserve">Przyjęcie w 2006 r. przez Zgromadzenie Ogólne Narodów Zjednoczonych Konwencji o prawach osób z niepełnosprawnościami oraz protokołu fakultatywnego do Konwencji było kamieniem milowym w ochronie praw człowieka osób z niepełnosprawnościami. Stanowiła ona ucieleśnienie w wiążącym międzynarodowym instrumentu prawnego tego, co często określa się mianem "zmiany paradygmatu", dzięki któremu oparty na deficycie, biomedyczny model osoby z niepełnosprawnością został zastąpiony przez model społeczny lub model praw człowieka. </w:t>
            </w:r>
          </w:p>
          <w:p w14:paraId="78AB22D7" w14:textId="5058AFBC" w:rsidR="005A380C" w:rsidRPr="005A380C" w:rsidRDefault="005A380C" w:rsidP="005A380C">
            <w:pPr>
              <w:spacing w:line="240" w:lineRule="auto"/>
              <w:jc w:val="both"/>
              <w:rPr>
                <w:rFonts w:asciiTheme="minorHAnsi" w:eastAsiaTheme="minorEastAsia" w:hAnsiTheme="minorHAnsi" w:cstheme="minorBidi"/>
                <w:sz w:val="24"/>
                <w:szCs w:val="24"/>
              </w:rPr>
            </w:pPr>
            <w:r w:rsidRPr="005A380C">
              <w:rPr>
                <w:rFonts w:asciiTheme="minorHAnsi" w:eastAsiaTheme="minorEastAsia" w:hAnsiTheme="minorHAnsi" w:cstheme="minorBidi"/>
                <w:sz w:val="24"/>
                <w:szCs w:val="24"/>
              </w:rPr>
              <w:t>W świetle tego ostatniego osoby z niepełnosprawnościami są podmiotami praw, które mają prawo do pełnego uczestnictwa i wkładu w życie społeczne, a nie postrzegane jako zmarginalizowane obiekty litości, dobroczynności, odbiorcy pomocy społecznej lub osoby, za które inni podejmują codzienne i ważne decyzje życiowe. Podstawowym obowiązkiem państw-stron Konwencji jest podejmowanie środków legislacyjnych, administracyjnych i innych w celu wprowadzenia w życie traktatu.</w:t>
            </w:r>
          </w:p>
          <w:p w14:paraId="1F866E48" w14:textId="3E5E7A53" w:rsidR="005A380C" w:rsidRPr="005A380C" w:rsidRDefault="005A380C" w:rsidP="005A380C">
            <w:pPr>
              <w:spacing w:line="240" w:lineRule="auto"/>
              <w:jc w:val="both"/>
              <w:rPr>
                <w:rFonts w:asciiTheme="minorHAnsi" w:eastAsiaTheme="minorEastAsia" w:hAnsiTheme="minorHAnsi" w:cstheme="minorBidi"/>
                <w:sz w:val="24"/>
                <w:szCs w:val="24"/>
              </w:rPr>
            </w:pPr>
          </w:p>
          <w:p w14:paraId="2B12D8D8" w14:textId="413A7208" w:rsidR="005A380C" w:rsidRDefault="005A380C" w:rsidP="005A380C">
            <w:pPr>
              <w:spacing w:line="240" w:lineRule="auto"/>
              <w:jc w:val="both"/>
              <w:rPr>
                <w:rFonts w:asciiTheme="minorHAnsi" w:eastAsiaTheme="minorEastAsia" w:hAnsiTheme="minorHAnsi" w:cstheme="minorBidi"/>
                <w:sz w:val="24"/>
                <w:szCs w:val="24"/>
              </w:rPr>
            </w:pPr>
            <w:r w:rsidRPr="005A380C">
              <w:rPr>
                <w:rFonts w:asciiTheme="minorHAnsi" w:eastAsiaTheme="minorEastAsia" w:hAnsiTheme="minorHAnsi" w:cstheme="minorBidi"/>
                <w:sz w:val="24"/>
                <w:szCs w:val="24"/>
              </w:rPr>
              <w:t>Wejście w życie Konwencji wywołało dyskusje na temat obecnych ram prawnych regulujących zdolność do czynności prawnych w państwach członkowskich UE. Wszystkie państwa członkowskie UE ratyfikowały KPON i stają w obliczu wyzwań związanych z kształtowaniem przepisów krajowych, które umożliwią stosowanie środków wspomagających podejmowanie decyzji, innymi słowy środków, które respektują autonomię, wolę i preferencje osoby. Liczba państw członkowskich, które obecnie reformują ustawodawstwo dotyczące zdolności do czynności prawnych, ilustruje zasadnicze ponowne rozważenie, jakiego wymaga Konwencja o prawach osób</w:t>
            </w:r>
            <w:r>
              <w:rPr>
                <w:rFonts w:asciiTheme="minorHAnsi" w:eastAsiaTheme="minorEastAsia" w:hAnsiTheme="minorHAnsi" w:cstheme="minorBidi"/>
                <w:sz w:val="24"/>
                <w:szCs w:val="24"/>
              </w:rPr>
              <w:t xml:space="preserve"> z </w:t>
            </w:r>
            <w:r w:rsidRPr="005A380C">
              <w:rPr>
                <w:rFonts w:asciiTheme="minorHAnsi" w:eastAsiaTheme="minorEastAsia" w:hAnsiTheme="minorHAnsi" w:cstheme="minorBidi"/>
                <w:sz w:val="24"/>
                <w:szCs w:val="24"/>
              </w:rPr>
              <w:t>niepełnosprawn</w:t>
            </w:r>
            <w:r>
              <w:rPr>
                <w:rFonts w:asciiTheme="minorHAnsi" w:eastAsiaTheme="minorEastAsia" w:hAnsiTheme="minorHAnsi" w:cstheme="minorBidi"/>
                <w:sz w:val="24"/>
                <w:szCs w:val="24"/>
              </w:rPr>
              <w:t>ościami.</w:t>
            </w:r>
          </w:p>
          <w:p w14:paraId="554DBC49" w14:textId="7A3584AE" w:rsidR="005A380C" w:rsidRPr="005A380C" w:rsidRDefault="005A380C" w:rsidP="005A380C">
            <w:pPr>
              <w:spacing w:line="240" w:lineRule="auto"/>
              <w:jc w:val="both"/>
              <w:rPr>
                <w:sz w:val="24"/>
                <w:szCs w:val="24"/>
              </w:rPr>
            </w:pPr>
            <w:r w:rsidRPr="005A380C">
              <w:rPr>
                <w:sz w:val="24"/>
                <w:szCs w:val="24"/>
              </w:rPr>
              <w:lastRenderedPageBreak/>
              <w:t>Przedstawione poniżej rozwiązania legislacyjne uznaje się za przejaw postępu, ponieważ podkreślają one znaczenie wspieranego procesu podejmowania decyzji. Jednak wszystkie kraje w Europie nadal uwzględniają pewien rodzaj systemów zastępczego podejmowania decyzji jako ostateczność. Oznacza to, że w wielu przypadkach, gdy istnieje możliwość wyboru między tymi dwoma rozwiązaniami, zastępcze podejmowanie decyzji przeważa nad wspieranym podejmowaniem decyzji, co jest problematyczne z punktu widzenia zgodności z Konwencją. Ponadto Komitet ds. Konwencji ONZ regularnie powtarza, że reformy, które zmieniają, ale nie znoszą zastępczego podejmowania decyzji, pozostają w konflikcie z Konwencją.</w:t>
            </w:r>
          </w:p>
          <w:p w14:paraId="0C8A1D07" w14:textId="64144B88" w:rsidR="005A380C" w:rsidRPr="005A380C" w:rsidRDefault="005A380C" w:rsidP="005A380C">
            <w:pPr>
              <w:spacing w:line="240" w:lineRule="auto"/>
              <w:jc w:val="both"/>
              <w:rPr>
                <w:sz w:val="24"/>
                <w:szCs w:val="24"/>
              </w:rPr>
            </w:pPr>
            <w:r w:rsidRPr="005A380C">
              <w:rPr>
                <w:sz w:val="24"/>
                <w:szCs w:val="24"/>
              </w:rPr>
              <w:t>Należy również zauważyć, że chociaż ramy prawne mogą być pozytywne w teorii, bardzo często nie idzie za nimi odpowiednie wdrożenie i/lub wykorzystanie w praktyce.</w:t>
            </w:r>
          </w:p>
          <w:p w14:paraId="1013396B" w14:textId="0FDF358E" w:rsidR="005A380C" w:rsidRPr="005A380C" w:rsidRDefault="005A380C" w:rsidP="005A380C">
            <w:pPr>
              <w:spacing w:line="240" w:lineRule="auto"/>
              <w:jc w:val="both"/>
              <w:rPr>
                <w:sz w:val="24"/>
                <w:szCs w:val="24"/>
              </w:rPr>
            </w:pPr>
          </w:p>
          <w:p w14:paraId="1F356698" w14:textId="67E7DD33" w:rsidR="005A380C" w:rsidRPr="005A380C" w:rsidRDefault="005A380C" w:rsidP="005A380C">
            <w:pPr>
              <w:spacing w:line="240" w:lineRule="auto"/>
              <w:jc w:val="both"/>
              <w:rPr>
                <w:b/>
                <w:bCs/>
                <w:sz w:val="24"/>
                <w:szCs w:val="24"/>
              </w:rPr>
            </w:pPr>
            <w:r w:rsidRPr="005A380C">
              <w:rPr>
                <w:b/>
                <w:bCs/>
                <w:sz w:val="24"/>
                <w:szCs w:val="24"/>
              </w:rPr>
              <w:t>Austria</w:t>
            </w:r>
          </w:p>
          <w:p w14:paraId="55C791FB" w14:textId="3F99C307" w:rsidR="005A380C" w:rsidRPr="005A380C" w:rsidRDefault="005A380C" w:rsidP="005A380C">
            <w:pPr>
              <w:spacing w:line="240" w:lineRule="auto"/>
              <w:jc w:val="both"/>
              <w:rPr>
                <w:sz w:val="24"/>
                <w:szCs w:val="24"/>
              </w:rPr>
            </w:pPr>
            <w:r w:rsidRPr="005A380C">
              <w:rPr>
                <w:sz w:val="24"/>
                <w:szCs w:val="24"/>
              </w:rPr>
              <w:t>W Austrii z dniem 1 lipca 2018 r. weszły w życie nowe przepisy zwane drugą ustawą o ochronie dorosłych. Ustawa kieruje się zasadami autonomii, samostanowienia i poradnictwa decyzyjnego. Przewiduje cztery mechanizmy na wypadek ograniczenia zdolności decyzyjnych danej osoby, ale żaden z nich nie powoduje automatycznej utraty zdolności do czynności prawnych. Ustawa przewiduje stosowanie trwałych pełnomocnictw, które umożliwiają osobie wyznaczenie przedstawiciela na wypadek utraty przez nią zdolności do podejmowania decyzji w przyszłości. W ostateczności sąd może zdecydować o wyznaczeniu przedstawiciela lub zastępcy osoby podejmującej decyzje. Może to jednak nastąpić tylko po zbadaniu konkretnych okoliczności każdej osoby i ograniczeniu reprezentacji do konkretnej sprawy i na określony czas. Wreszcie, niektóre decyzje nie mogą być w ogóle podejmowane przez przedstawiciela, jak np. sporządzenie testamentu lub uprzedniej dyrektywy zdrowotnej (</w:t>
            </w:r>
            <w:proofErr w:type="spellStart"/>
            <w:r w:rsidRPr="005A380C">
              <w:rPr>
                <w:sz w:val="24"/>
                <w:szCs w:val="24"/>
              </w:rPr>
              <w:t>Patientenverfügung</w:t>
            </w:r>
            <w:proofErr w:type="spellEnd"/>
            <w:r w:rsidRPr="005A380C">
              <w:rPr>
                <w:sz w:val="24"/>
                <w:szCs w:val="24"/>
              </w:rPr>
              <w:t>), ustanowienie trwałego pełnomocnictwa, zawarcie związku małżeńskiego, adopcja dziecka lub uznanie ojcostwa.</w:t>
            </w:r>
          </w:p>
          <w:p w14:paraId="1352153C" w14:textId="6331A38D" w:rsidR="005A380C" w:rsidRPr="005A380C" w:rsidRDefault="005A380C" w:rsidP="005A380C">
            <w:pPr>
              <w:spacing w:line="240" w:lineRule="auto"/>
              <w:jc w:val="both"/>
              <w:rPr>
                <w:sz w:val="24"/>
                <w:szCs w:val="24"/>
              </w:rPr>
            </w:pPr>
          </w:p>
          <w:p w14:paraId="568FB81F" w14:textId="5DCC183C" w:rsidR="005A380C" w:rsidRPr="005A380C" w:rsidRDefault="005A380C" w:rsidP="005A380C">
            <w:pPr>
              <w:spacing w:line="240" w:lineRule="auto"/>
              <w:jc w:val="both"/>
              <w:rPr>
                <w:b/>
                <w:bCs/>
                <w:sz w:val="24"/>
                <w:szCs w:val="24"/>
              </w:rPr>
            </w:pPr>
            <w:r w:rsidRPr="005A380C">
              <w:rPr>
                <w:b/>
                <w:bCs/>
                <w:sz w:val="24"/>
                <w:szCs w:val="24"/>
              </w:rPr>
              <w:t>Belgia</w:t>
            </w:r>
          </w:p>
          <w:p w14:paraId="78EE7968" w14:textId="64A6A240" w:rsidR="005A380C" w:rsidRPr="005A380C" w:rsidRDefault="005A380C" w:rsidP="005A380C">
            <w:pPr>
              <w:spacing w:line="240" w:lineRule="auto"/>
              <w:jc w:val="both"/>
              <w:rPr>
                <w:sz w:val="24"/>
                <w:szCs w:val="24"/>
              </w:rPr>
            </w:pPr>
            <w:r w:rsidRPr="005A380C">
              <w:rPr>
                <w:sz w:val="24"/>
                <w:szCs w:val="24"/>
              </w:rPr>
              <w:t>W Belgii uchwalono w marcu 2013 r. ustawę, która po pierwsze, przewiduje, że osoba może wskazać swoje preferencje dotyczące zarządcy i/lub „osoby zaufania”, gdyby jej zdolność prawna została w przyszłości ograniczona przez sędziego. Po drugie, decydując o zdolności prawnej osoby, sędziowie muszą zwrócić uwagę na specyficzną sytuację każdej osoby. Wspierane podejmowanie decyzji („pomoc”) musi mieć pierwszeństwo przed zastępczym podejmowaniem decyzji („reprezentacja”), a sędziowie muszą brać pod uwagę wolę i preferencje osób przy podejmowaniu decyzji, kogo wyznaczyć na ich zarządcę. Sędzia nie jest jednak zobowiązany do wyboru jako administratora opcji preferowanej przez zainteresowane osoby. Wyznaczona przez kogoś „osoba zaufania” może pośredniczyć między daną osobą a jej zarządcą, pomagając w wyrażeniu woli danej osoby.</w:t>
            </w:r>
          </w:p>
          <w:p w14:paraId="244B9BA3" w14:textId="01C4C8DE" w:rsidR="005A380C" w:rsidRPr="005A380C" w:rsidRDefault="005A380C" w:rsidP="005A380C">
            <w:pPr>
              <w:spacing w:line="240" w:lineRule="auto"/>
              <w:jc w:val="both"/>
              <w:rPr>
                <w:sz w:val="24"/>
                <w:szCs w:val="24"/>
              </w:rPr>
            </w:pPr>
            <w:r w:rsidRPr="005A380C">
              <w:rPr>
                <w:sz w:val="24"/>
                <w:szCs w:val="24"/>
              </w:rPr>
              <w:t>Chociaż ustawa ta stanowi krok naprzód, w praktyce sędziowie często nie mają wystarczająco dużo czasu i środków, aby dokładnie ocenić konkretną sytuację każdej osoby i najczęściej decydują się na zastępcze, a nie wspomagane podejmowanie decyzji, lekceważąc tym samym wolę i preferencje osób. Sędziowie z dużym prawdopodobieństwem wyznaczą również profesjonalnego administratora (zwykle prawnika), a nie kogoś z rodziny lub sieci osobistej danej osoby.</w:t>
            </w:r>
          </w:p>
          <w:p w14:paraId="78930E25" w14:textId="723A7035" w:rsidR="005A380C" w:rsidRPr="005A380C" w:rsidRDefault="005A380C" w:rsidP="005A380C">
            <w:pPr>
              <w:spacing w:line="240" w:lineRule="auto"/>
              <w:jc w:val="both"/>
              <w:rPr>
                <w:sz w:val="24"/>
                <w:szCs w:val="24"/>
              </w:rPr>
            </w:pPr>
          </w:p>
          <w:p w14:paraId="6F688CB6" w14:textId="75CD139F" w:rsidR="005A380C" w:rsidRPr="005A380C" w:rsidRDefault="005A380C" w:rsidP="005A380C">
            <w:pPr>
              <w:spacing w:line="240" w:lineRule="auto"/>
              <w:jc w:val="both"/>
              <w:rPr>
                <w:b/>
                <w:bCs/>
                <w:sz w:val="24"/>
                <w:szCs w:val="24"/>
              </w:rPr>
            </w:pPr>
            <w:r w:rsidRPr="005A380C">
              <w:rPr>
                <w:b/>
                <w:bCs/>
                <w:sz w:val="24"/>
                <w:szCs w:val="24"/>
              </w:rPr>
              <w:t>Republika Czeska</w:t>
            </w:r>
          </w:p>
          <w:p w14:paraId="0F2A8360" w14:textId="7834E536" w:rsidR="005A380C" w:rsidRPr="005A380C" w:rsidRDefault="005A380C" w:rsidP="005A380C">
            <w:pPr>
              <w:spacing w:line="240" w:lineRule="auto"/>
              <w:jc w:val="both"/>
              <w:rPr>
                <w:sz w:val="24"/>
                <w:szCs w:val="24"/>
              </w:rPr>
            </w:pPr>
            <w:r w:rsidRPr="005A380C">
              <w:rPr>
                <w:sz w:val="24"/>
                <w:szCs w:val="24"/>
              </w:rPr>
              <w:t>Kodeks cywilny z 2012 roku, który wszedł w życie w styczniu 2014 roku, zawiera „pomoc w podejmowaniu decyzji” w ramach systemu środków wsparcia dla osób dorosłych o „zmniejszonej zdolności” do działania. Inne środki to: reprezentacja przez najbliższego krewnego, kuratela i zaawansowane dyrektywy. Pomoc w podejmowaniu decyzji przeznaczona jest wyłącznie dla osób z „niepełnosprawnością psychiczną”, co wskazuje, że przepisy te opierają się raczej na medycznym niż społecznym modelu niepełnosprawności. Osoba może wybrać jedną lub więcej osób wspierających, bez dalszego określenia. W praktyce, oprócz osób fizycznych, pomocy udzielają także niektóre organizacje.</w:t>
            </w:r>
          </w:p>
          <w:p w14:paraId="5D8B9CBD" w14:textId="435CCC00" w:rsidR="005A380C" w:rsidRPr="005A380C" w:rsidRDefault="005A380C" w:rsidP="005A380C">
            <w:pPr>
              <w:spacing w:line="240" w:lineRule="auto"/>
              <w:jc w:val="both"/>
              <w:rPr>
                <w:sz w:val="24"/>
                <w:szCs w:val="24"/>
              </w:rPr>
            </w:pPr>
            <w:r w:rsidRPr="005A380C">
              <w:rPr>
                <w:sz w:val="24"/>
                <w:szCs w:val="24"/>
              </w:rPr>
              <w:t xml:space="preserve">Osoby wspierające towarzyszą osobom w postępowaniach prawnych, udzielają im niezbędnych informacji lub porad. Ponadto wspierający może złożyć swój podpis pod umowami lub innymi czynnościami prawnymi zawartymi przez osobę otrzymującą pomoc oraz może powołać się na nieważność czynności prawnej dokonanej </w:t>
            </w:r>
            <w:r w:rsidRPr="005A380C">
              <w:rPr>
                <w:sz w:val="24"/>
                <w:szCs w:val="24"/>
              </w:rPr>
              <w:lastRenderedPageBreak/>
              <w:t>przez osobę otrzymującą pomoc. Osoba wspierająca może być również obecna w kontaktach tej osoby z organami administracji oraz może wraz z osobą wspieraną przeglądać i konsultować akta administracyjne. Osoba wspierająca posiada również legitymację procesową w trakcie postępowania w sprawie przymusowej hospitalizacji lub zatrzymania w zakładach pomocy społecznej.</w:t>
            </w:r>
          </w:p>
          <w:p w14:paraId="63A5D555" w14:textId="045F4CA5" w:rsidR="005A380C" w:rsidRPr="005A380C" w:rsidRDefault="005A380C" w:rsidP="005A380C">
            <w:pPr>
              <w:spacing w:line="240" w:lineRule="auto"/>
              <w:jc w:val="both"/>
              <w:rPr>
                <w:sz w:val="24"/>
                <w:szCs w:val="24"/>
              </w:rPr>
            </w:pPr>
            <w:r w:rsidRPr="005A380C">
              <w:rPr>
                <w:sz w:val="24"/>
                <w:szCs w:val="24"/>
              </w:rPr>
              <w:t>Podstawą udzielenia pomocy jest umowa (ustna lub pisemna) zatwierdzona przez sąd. Zakres pomocy i treść umowy zależy od stron. Sąd może interweniować tylko a) przed zawarciem umowy, jeśli jest to oczywiste, że interesy osoby udzielającej pomocy są sprzeczne z interesami osoby korzystającej z pomocy lub b) w trakcie udzielania pomocy, jeżeli sąd stwierdzi, że osoby udzielające pomocy wywierają niewłaściwy wpływ lub bezpodstawnie wzbogacają się kosztem osoby korzystającej z pomocy.</w:t>
            </w:r>
          </w:p>
          <w:p w14:paraId="0C74369E" w14:textId="2A7E9658" w:rsidR="005A380C" w:rsidRPr="005A380C" w:rsidRDefault="005A380C" w:rsidP="005A380C">
            <w:pPr>
              <w:spacing w:line="240" w:lineRule="auto"/>
              <w:jc w:val="both"/>
              <w:rPr>
                <w:sz w:val="24"/>
                <w:szCs w:val="24"/>
              </w:rPr>
            </w:pPr>
            <w:r w:rsidRPr="005A380C">
              <w:rPr>
                <w:sz w:val="24"/>
                <w:szCs w:val="24"/>
              </w:rPr>
              <w:t>Oprócz pomocy w podejmowaniu decyzji, ustawa ustala również, że osoba z niepełnosprawnością może korzystać ze szczególnego rodzaju wsparcia w trakcie postępowania w sprawie niedobrowolnej hospitalizacji. Osoba ta jest wprawdzie reprezentowana przez przedstawiciela prawnego (adwokata), ale może też wybrać powiernika, który może ją wspierać w postępowaniu, a także realizować w imieniu osoby zatrzymanej uprawnienia procesowe (m.in. proponować dowody, odwoływać się od decyzji). Nie ma formalnego wymogu powołania powiernika.</w:t>
            </w:r>
          </w:p>
          <w:p w14:paraId="4932FFD4" w14:textId="64B19F0A" w:rsidR="005A380C" w:rsidRPr="005A380C" w:rsidRDefault="005A380C" w:rsidP="005A380C">
            <w:pPr>
              <w:spacing w:line="240" w:lineRule="auto"/>
              <w:jc w:val="both"/>
              <w:rPr>
                <w:sz w:val="24"/>
                <w:szCs w:val="24"/>
              </w:rPr>
            </w:pPr>
            <w:r w:rsidRPr="005A380C">
              <w:rPr>
                <w:b/>
                <w:bCs/>
                <w:sz w:val="24"/>
                <w:szCs w:val="24"/>
              </w:rPr>
              <w:t>Gruzja</w:t>
            </w:r>
          </w:p>
          <w:p w14:paraId="7946785F" w14:textId="57D5E8EB" w:rsidR="005A380C" w:rsidRPr="005A380C" w:rsidRDefault="005A380C" w:rsidP="005A380C">
            <w:pPr>
              <w:spacing w:line="240" w:lineRule="auto"/>
              <w:jc w:val="both"/>
              <w:rPr>
                <w:sz w:val="24"/>
                <w:szCs w:val="24"/>
              </w:rPr>
            </w:pPr>
            <w:r w:rsidRPr="005A380C">
              <w:rPr>
                <w:sz w:val="24"/>
                <w:szCs w:val="24"/>
              </w:rPr>
              <w:t>Nowelizacja kodeksu cywilnego w Gruzji z 2015 roku obejmuje reformę przepisów dotyczących zdolności prawnej. Zniesiono opiekę plenarną i ustanowiono wspierane podejmowanie decyzji. Osoby, ich krewni lub służby społeczne, mogą obecnie zwrócić się do sądu z wnioskiem o uznanie ich za „beneficjentów wsparcia”. Sąd musi wziąć pod uwagę „interes i wolę beneficjenta wsparcia” i wymienić konkretne obszary, w których wymagane jest wsparcie. Ramy wsparcia mogą być rozszerzone lub zawężone i są nadzorowane przez organ nadzorczy. Wspierającymi są osoby fizyczne lub agencje rządowe.</w:t>
            </w:r>
          </w:p>
          <w:p w14:paraId="01F7DB59" w14:textId="13ECCF51" w:rsidR="005A380C" w:rsidRPr="005A380C" w:rsidRDefault="005A380C" w:rsidP="005A380C">
            <w:pPr>
              <w:spacing w:line="240" w:lineRule="auto"/>
              <w:jc w:val="both"/>
              <w:rPr>
                <w:sz w:val="24"/>
                <w:szCs w:val="24"/>
              </w:rPr>
            </w:pPr>
          </w:p>
          <w:p w14:paraId="0B9E04FD" w14:textId="32C47491" w:rsidR="005A380C" w:rsidRPr="005A380C" w:rsidRDefault="005A380C" w:rsidP="005A380C">
            <w:pPr>
              <w:spacing w:line="240" w:lineRule="auto"/>
              <w:jc w:val="both"/>
              <w:rPr>
                <w:b/>
                <w:bCs/>
                <w:sz w:val="24"/>
                <w:szCs w:val="24"/>
              </w:rPr>
            </w:pPr>
            <w:r w:rsidRPr="005A380C">
              <w:rPr>
                <w:b/>
                <w:bCs/>
                <w:sz w:val="24"/>
                <w:szCs w:val="24"/>
              </w:rPr>
              <w:t>Niemcy</w:t>
            </w:r>
          </w:p>
          <w:p w14:paraId="544912AA" w14:textId="29FDF326" w:rsidR="005A380C" w:rsidRPr="005A380C" w:rsidRDefault="005A380C" w:rsidP="005A380C">
            <w:pPr>
              <w:spacing w:line="240" w:lineRule="auto"/>
              <w:jc w:val="both"/>
              <w:rPr>
                <w:sz w:val="24"/>
                <w:szCs w:val="24"/>
              </w:rPr>
            </w:pPr>
            <w:r w:rsidRPr="005A380C">
              <w:rPr>
                <w:sz w:val="24"/>
                <w:szCs w:val="24"/>
              </w:rPr>
              <w:t>W Niemczech rząd federalny zniósł w 1992 roku ustawową opiekę („</w:t>
            </w:r>
            <w:proofErr w:type="spellStart"/>
            <w:r w:rsidRPr="005A380C">
              <w:rPr>
                <w:sz w:val="24"/>
                <w:szCs w:val="24"/>
              </w:rPr>
              <w:t>Vormundschaft</w:t>
            </w:r>
            <w:proofErr w:type="spellEnd"/>
            <w:r w:rsidRPr="005A380C">
              <w:rPr>
                <w:sz w:val="24"/>
                <w:szCs w:val="24"/>
              </w:rPr>
              <w:t>”) dla osób dorosłych. Wcześniej ustawodawstwo dopuszczało formalne pozbawienie osoby zdolności do czynności prawnych. Podczas gdy z reguły zdolność do czynności prawnych jest w pełni zachowana, a opiekunowie prawni są zobowiązani do przestrzegania woli osób, które reprezentują, w praktyce istniejący element wspieranego podejmowania decyzji przez osoby z niepełnosprawnościami jest zaniedbywany. Komitet KPON jest zaniepokojony, że obecny instrument prawny dotyczący kurateli jest nadal niezgodny z Konwencją.</w:t>
            </w:r>
          </w:p>
          <w:p w14:paraId="3428F10E" w14:textId="43689896" w:rsidR="005A380C" w:rsidRPr="005A380C" w:rsidRDefault="005A380C" w:rsidP="005A380C">
            <w:pPr>
              <w:spacing w:line="240" w:lineRule="auto"/>
              <w:jc w:val="both"/>
              <w:rPr>
                <w:sz w:val="24"/>
                <w:szCs w:val="24"/>
              </w:rPr>
            </w:pPr>
            <w:r w:rsidRPr="005A380C">
              <w:rPr>
                <w:sz w:val="24"/>
                <w:szCs w:val="24"/>
              </w:rPr>
              <w:t>W niemieckim systemie prawnym sądy ustanawiają opiekunów w odniesieniu do określonych obszarów, takich jak sprawy finansowe, zdrowie lub dobro osobiste. Opiekun nie może być powołany wbrew wolnej woli danej osoby. Sądy mogą jednak decydować o tym, czy dana osoba jest zdolna do „wolnej woli”, czy też nie. Możliwe jest wydanie dyrektywy wyprzedzającej w sprawie opieki (</w:t>
            </w:r>
            <w:proofErr w:type="spellStart"/>
            <w:r w:rsidRPr="005A380C">
              <w:rPr>
                <w:sz w:val="24"/>
                <w:szCs w:val="24"/>
              </w:rPr>
              <w:t>Betreuungsverfügung</w:t>
            </w:r>
            <w:proofErr w:type="spellEnd"/>
            <w:r w:rsidRPr="005A380C">
              <w:rPr>
                <w:sz w:val="24"/>
                <w:szCs w:val="24"/>
              </w:rPr>
              <w:t>), aby wcześniej wyrazić swoją wolę i preferencje w pewnych sprawach; przyszły opiekun będzie kontrolowany przez sąd. Aby uniknąć opieki, osoba może udzielić komuś wybranemu pełnomocnictwa (</w:t>
            </w:r>
            <w:proofErr w:type="spellStart"/>
            <w:r w:rsidRPr="005A380C">
              <w:rPr>
                <w:sz w:val="24"/>
                <w:szCs w:val="24"/>
              </w:rPr>
              <w:t>Vorsorgevollmacht</w:t>
            </w:r>
            <w:proofErr w:type="spellEnd"/>
            <w:r w:rsidRPr="005A380C">
              <w:rPr>
                <w:sz w:val="24"/>
                <w:szCs w:val="24"/>
              </w:rPr>
              <w:t>). W odniesieniu do leczenia można zawrzeć swoją wolę i preferencje w „testamencie życia” (</w:t>
            </w:r>
            <w:proofErr w:type="spellStart"/>
            <w:r w:rsidRPr="005A380C">
              <w:rPr>
                <w:sz w:val="24"/>
                <w:szCs w:val="24"/>
              </w:rPr>
              <w:t>Patientenverfügung</w:t>
            </w:r>
            <w:proofErr w:type="spellEnd"/>
            <w:r w:rsidRPr="005A380C">
              <w:rPr>
                <w:sz w:val="24"/>
                <w:szCs w:val="24"/>
              </w:rPr>
              <w:t>), który działa jako środek zapobiegawczy.</w:t>
            </w:r>
          </w:p>
          <w:p w14:paraId="020939C2" w14:textId="32E6B0C0" w:rsidR="005A380C" w:rsidRPr="005A380C" w:rsidRDefault="005A380C" w:rsidP="005A380C">
            <w:pPr>
              <w:spacing w:line="240" w:lineRule="auto"/>
              <w:jc w:val="both"/>
              <w:rPr>
                <w:sz w:val="24"/>
                <w:szCs w:val="24"/>
              </w:rPr>
            </w:pPr>
            <w:r w:rsidRPr="005A380C">
              <w:rPr>
                <w:sz w:val="24"/>
                <w:szCs w:val="24"/>
              </w:rPr>
              <w:t>Opiekun jest po to, by wspierać daną osobę. Opiekun może korzystać ze swoich uprawnień do reprezentowania i działania w imieniu danej osoby tylko wtedy, gdy jest to konieczne. Opiekun może powstrzymać się od działania zgodnie z wolą i preferencjami danej osoby tylko wtedy, gdy jest to sprzeczne z jej najlepszym interesem. Jeśli opiekun podejmuje decyzję, która może mieć wpływ na prawa człowieka (np. sprawa związana z lekami lub przeniesieniem do instytucji), sąd musi zatwierdzić tę decyzję i powinien przeprowadzić przesłuchanie w tej sprawie z udziałem zainteresowanej osoby.</w:t>
            </w:r>
          </w:p>
          <w:p w14:paraId="604FAE33" w14:textId="564911B3" w:rsidR="005A380C" w:rsidRPr="005A380C" w:rsidRDefault="005A380C" w:rsidP="005A380C">
            <w:pPr>
              <w:spacing w:line="240" w:lineRule="auto"/>
              <w:jc w:val="both"/>
              <w:rPr>
                <w:sz w:val="24"/>
                <w:szCs w:val="24"/>
              </w:rPr>
            </w:pPr>
            <w:r w:rsidRPr="005A380C">
              <w:rPr>
                <w:sz w:val="24"/>
                <w:szCs w:val="24"/>
              </w:rPr>
              <w:t>Wreszcie, chociaż wszystkie decyzje podejmowane przez opiekuna muszą uwzględniać wolę i preferencje danej osoby i są podejmowane jako wspomagane podejmowanie decyzji, zasoby są ograniczone, co utrudnia indywidualną komunikację na temat woli i preferencji w każdej sprawie.</w:t>
            </w:r>
          </w:p>
          <w:p w14:paraId="031E8983" w14:textId="39AADCCC" w:rsidR="005A380C" w:rsidRPr="005A380C" w:rsidRDefault="005A380C" w:rsidP="005A380C">
            <w:pPr>
              <w:spacing w:line="240" w:lineRule="auto"/>
              <w:jc w:val="both"/>
              <w:rPr>
                <w:sz w:val="24"/>
                <w:szCs w:val="24"/>
              </w:rPr>
            </w:pPr>
            <w:r w:rsidRPr="005A380C">
              <w:rPr>
                <w:b/>
                <w:bCs/>
                <w:sz w:val="24"/>
                <w:szCs w:val="24"/>
              </w:rPr>
              <w:t>Irlandia</w:t>
            </w:r>
            <w:r w:rsidRPr="005A380C">
              <w:rPr>
                <w:sz w:val="24"/>
                <w:szCs w:val="24"/>
              </w:rPr>
              <w:t xml:space="preserve"> </w:t>
            </w:r>
          </w:p>
          <w:p w14:paraId="6A07F674" w14:textId="13CFC2A7" w:rsidR="005A380C" w:rsidRPr="005A380C" w:rsidRDefault="005A380C" w:rsidP="005A380C">
            <w:pPr>
              <w:spacing w:line="240" w:lineRule="auto"/>
              <w:jc w:val="both"/>
              <w:rPr>
                <w:sz w:val="24"/>
                <w:szCs w:val="24"/>
              </w:rPr>
            </w:pPr>
            <w:r w:rsidRPr="005A380C">
              <w:rPr>
                <w:sz w:val="24"/>
                <w:szCs w:val="24"/>
              </w:rPr>
              <w:t xml:space="preserve">W 2015 r. przyjęto </w:t>
            </w:r>
            <w:proofErr w:type="spellStart"/>
            <w:r w:rsidRPr="005A380C">
              <w:rPr>
                <w:sz w:val="24"/>
                <w:szCs w:val="24"/>
              </w:rPr>
              <w:t>Assisted</w:t>
            </w:r>
            <w:proofErr w:type="spellEnd"/>
            <w:r w:rsidRPr="005A380C">
              <w:rPr>
                <w:sz w:val="24"/>
                <w:szCs w:val="24"/>
              </w:rPr>
              <w:t xml:space="preserve"> </w:t>
            </w:r>
            <w:proofErr w:type="spellStart"/>
            <w:r w:rsidRPr="005A380C">
              <w:rPr>
                <w:sz w:val="24"/>
                <w:szCs w:val="24"/>
              </w:rPr>
              <w:t>Decision-Making</w:t>
            </w:r>
            <w:proofErr w:type="spellEnd"/>
            <w:r w:rsidRPr="005A380C">
              <w:rPr>
                <w:sz w:val="24"/>
                <w:szCs w:val="24"/>
              </w:rPr>
              <w:t xml:space="preserve"> (</w:t>
            </w:r>
            <w:proofErr w:type="spellStart"/>
            <w:r w:rsidRPr="005A380C">
              <w:rPr>
                <w:sz w:val="24"/>
                <w:szCs w:val="24"/>
              </w:rPr>
              <w:t>Capacity</w:t>
            </w:r>
            <w:proofErr w:type="spellEnd"/>
            <w:r w:rsidRPr="005A380C">
              <w:rPr>
                <w:sz w:val="24"/>
                <w:szCs w:val="24"/>
              </w:rPr>
              <w:t xml:space="preserve"> </w:t>
            </w:r>
            <w:proofErr w:type="spellStart"/>
            <w:r w:rsidRPr="005A380C">
              <w:rPr>
                <w:sz w:val="24"/>
                <w:szCs w:val="24"/>
              </w:rPr>
              <w:t>Act</w:t>
            </w:r>
            <w:proofErr w:type="spellEnd"/>
            <w:r w:rsidRPr="005A380C">
              <w:rPr>
                <w:sz w:val="24"/>
                <w:szCs w:val="24"/>
              </w:rPr>
              <w:t xml:space="preserve">), która zastąpiła </w:t>
            </w:r>
            <w:proofErr w:type="spellStart"/>
            <w:r w:rsidRPr="005A380C">
              <w:rPr>
                <w:sz w:val="24"/>
                <w:szCs w:val="24"/>
              </w:rPr>
              <w:t>Lunacy</w:t>
            </w:r>
            <w:proofErr w:type="spellEnd"/>
            <w:r w:rsidRPr="005A380C">
              <w:rPr>
                <w:sz w:val="24"/>
                <w:szCs w:val="24"/>
              </w:rPr>
              <w:t xml:space="preserve"> </w:t>
            </w:r>
            <w:proofErr w:type="spellStart"/>
            <w:r w:rsidRPr="005A380C">
              <w:rPr>
                <w:sz w:val="24"/>
                <w:szCs w:val="24"/>
              </w:rPr>
              <w:t>Regulation</w:t>
            </w:r>
            <w:proofErr w:type="spellEnd"/>
            <w:r w:rsidRPr="005A380C">
              <w:rPr>
                <w:sz w:val="24"/>
                <w:szCs w:val="24"/>
              </w:rPr>
              <w:t xml:space="preserve"> </w:t>
            </w:r>
            <w:proofErr w:type="spellStart"/>
            <w:r w:rsidRPr="005A380C">
              <w:rPr>
                <w:sz w:val="24"/>
                <w:szCs w:val="24"/>
              </w:rPr>
              <w:t>Act</w:t>
            </w:r>
            <w:proofErr w:type="spellEnd"/>
            <w:r w:rsidRPr="005A380C">
              <w:rPr>
                <w:sz w:val="24"/>
                <w:szCs w:val="24"/>
              </w:rPr>
              <w:t xml:space="preserve"> z 1871 r. Ustawa przewiduje trzy rodzaje wsparcia decyzyjnego: wspomagane podejmowanie decyzji; współdecydowanie </w:t>
            </w:r>
            <w:r w:rsidRPr="005A380C">
              <w:rPr>
                <w:sz w:val="24"/>
                <w:szCs w:val="24"/>
              </w:rPr>
              <w:lastRenderedPageBreak/>
              <w:t>i przedstawicieli decyzyjnych. Ustawa przewiduje również trwałe pełnomocnictwa i zaawansowane dyrektywy dotyczące opieki zdrowotnej. Każda z tych ról musi być realizowana zgodnie z wolą i preferencjami osoby z „problemami ze zdolnością do podejmowania decyzji”. Dlatego też, choć ustawa nadal pozwala na zastępcze podejmowanie decyzji, otwiera również możliwość wdrożenia wspomaganego podejmowania decyzji (poprzez „</w:t>
            </w:r>
            <w:proofErr w:type="spellStart"/>
            <w:r w:rsidRPr="005A380C">
              <w:rPr>
                <w:sz w:val="24"/>
                <w:szCs w:val="24"/>
              </w:rPr>
              <w:t>assisted</w:t>
            </w:r>
            <w:proofErr w:type="spellEnd"/>
            <w:r w:rsidRPr="005A380C">
              <w:rPr>
                <w:sz w:val="24"/>
                <w:szCs w:val="24"/>
              </w:rPr>
              <w:t xml:space="preserve"> </w:t>
            </w:r>
            <w:proofErr w:type="spellStart"/>
            <w:r w:rsidRPr="005A380C">
              <w:rPr>
                <w:sz w:val="24"/>
                <w:szCs w:val="24"/>
              </w:rPr>
              <w:t>decision-making</w:t>
            </w:r>
            <w:proofErr w:type="spellEnd"/>
            <w:r w:rsidRPr="005A380C">
              <w:rPr>
                <w:sz w:val="24"/>
                <w:szCs w:val="24"/>
              </w:rPr>
              <w:t>”).</w:t>
            </w:r>
          </w:p>
          <w:p w14:paraId="15AE60E7" w14:textId="07422DA3" w:rsidR="005A380C" w:rsidRPr="005A380C" w:rsidRDefault="005A380C" w:rsidP="005A380C">
            <w:pPr>
              <w:spacing w:line="240" w:lineRule="auto"/>
              <w:jc w:val="both"/>
              <w:rPr>
                <w:sz w:val="24"/>
                <w:szCs w:val="24"/>
              </w:rPr>
            </w:pPr>
            <w:r w:rsidRPr="005A380C">
              <w:rPr>
                <w:sz w:val="24"/>
                <w:szCs w:val="24"/>
              </w:rPr>
              <w:t>Wspomagane podejmowanie decyzji opiera się na umowie między osobą proszącą o wsparcie a jedną lub kilkoma wybranymi przez nią osobami. Może dotyczyć kwestii związanych z dobrem osobistym, w tym zakwaterowania, zatrudnienia, edukacji lub szkoleń, opieki zdrowotnej; lub kwestii związanych z własnością i sprawami, w tym kontroli i zarządzania swoją własnością lub prawami majątkowymi oraz prowadzenia postępowania przed jakimkolwiek sądem lub trybunałem.</w:t>
            </w:r>
          </w:p>
          <w:p w14:paraId="30D9F9CB" w14:textId="65997F30" w:rsidR="005A380C" w:rsidRPr="005A380C" w:rsidRDefault="005A380C" w:rsidP="005A380C">
            <w:pPr>
              <w:spacing w:line="240" w:lineRule="auto"/>
              <w:jc w:val="both"/>
              <w:rPr>
                <w:sz w:val="24"/>
                <w:szCs w:val="24"/>
              </w:rPr>
            </w:pPr>
            <w:r w:rsidRPr="005A380C">
              <w:rPr>
                <w:sz w:val="24"/>
                <w:szCs w:val="24"/>
              </w:rPr>
              <w:t>Asystenci podejmowania decyzji wspierają osoby w uzyskaniu informacji istotnych dla podjęcia decyzji, doradzają im poprzez wyjaśnienie informacji, ustalają wolę i preferencje osób oraz pomagają im w przekazaniu i wyrażeniu decyzji, starając się, aby decyzje zostały wdrożone. Nigdy nie podejmują oni decyzji w imieniu danej osoby. Skargi mogą być składane, jeśli asystenci decyzyjni działają poza zakresem swoich funkcji lub stosują np. oszustwo, przymus lub nadmierny nacisk.</w:t>
            </w:r>
          </w:p>
          <w:p w14:paraId="6F8E8572" w14:textId="36244F32" w:rsidR="005A380C" w:rsidRPr="005A380C" w:rsidRDefault="005A380C" w:rsidP="005A380C">
            <w:pPr>
              <w:spacing w:line="240" w:lineRule="auto"/>
              <w:jc w:val="both"/>
              <w:rPr>
                <w:sz w:val="24"/>
                <w:szCs w:val="24"/>
              </w:rPr>
            </w:pPr>
            <w:r w:rsidRPr="005A380C">
              <w:rPr>
                <w:sz w:val="24"/>
                <w:szCs w:val="24"/>
              </w:rPr>
              <w:t>Ustawa weszła w życie w listopadzie 2022 roku.</w:t>
            </w:r>
          </w:p>
          <w:p w14:paraId="418F3D5D" w14:textId="42062526" w:rsidR="005A380C" w:rsidRPr="005A380C" w:rsidRDefault="005A380C" w:rsidP="005A380C">
            <w:pPr>
              <w:spacing w:line="240" w:lineRule="auto"/>
              <w:jc w:val="both"/>
              <w:rPr>
                <w:sz w:val="24"/>
                <w:szCs w:val="24"/>
              </w:rPr>
            </w:pPr>
          </w:p>
          <w:p w14:paraId="17B75070" w14:textId="530B8877" w:rsidR="005A380C" w:rsidRPr="005A380C" w:rsidRDefault="005A380C" w:rsidP="005A380C">
            <w:pPr>
              <w:spacing w:line="240" w:lineRule="auto"/>
              <w:jc w:val="both"/>
              <w:rPr>
                <w:b/>
                <w:bCs/>
                <w:sz w:val="24"/>
                <w:szCs w:val="24"/>
              </w:rPr>
            </w:pPr>
            <w:r w:rsidRPr="005A380C">
              <w:rPr>
                <w:b/>
                <w:bCs/>
                <w:sz w:val="24"/>
                <w:szCs w:val="24"/>
              </w:rPr>
              <w:t>Zjednoczone Królestwo (Szkocja)</w:t>
            </w:r>
          </w:p>
          <w:p w14:paraId="1CC8A242" w14:textId="315BCA8E" w:rsidR="005A380C" w:rsidRPr="005A380C" w:rsidRDefault="005A380C" w:rsidP="005A380C">
            <w:pPr>
              <w:spacing w:line="240" w:lineRule="auto"/>
              <w:jc w:val="both"/>
              <w:rPr>
                <w:sz w:val="24"/>
                <w:szCs w:val="24"/>
              </w:rPr>
            </w:pPr>
            <w:r w:rsidRPr="005A380C">
              <w:rPr>
                <w:sz w:val="24"/>
                <w:szCs w:val="24"/>
              </w:rPr>
              <w:t>Znowelizowana w 2015 r. ustawa o zdrowiu psychicznym (opieka i leczenie) zapewnia osobom możliwość składania oświadczeń wyprzedzających dotyczących leczenia i określa instrument wspieranego podejmowania decyzji zwany „niezależnym rzecznictwem”. Niezależne rzecznictwo może być świadczone przez osobę fizyczną lub przez grupę rzeczników i koncentruje się wokół zasady wsparcia rówieśniczego.</w:t>
            </w:r>
          </w:p>
          <w:p w14:paraId="51288948" w14:textId="0B0BA8CE" w:rsidR="005A380C" w:rsidRPr="005A380C" w:rsidRDefault="005A380C" w:rsidP="005A380C">
            <w:pPr>
              <w:spacing w:line="240" w:lineRule="auto"/>
              <w:jc w:val="both"/>
              <w:rPr>
                <w:sz w:val="24"/>
                <w:szCs w:val="24"/>
              </w:rPr>
            </w:pPr>
            <w:r w:rsidRPr="005A380C">
              <w:rPr>
                <w:sz w:val="24"/>
                <w:szCs w:val="24"/>
              </w:rPr>
              <w:t>Każda osoba z niepełnosprawnością intelektualną lub psychospołeczną ma prawo do niezależnego rzecznictwa, kiedy jest zatrzymana w szpitalu lub podlega innym formom przymusowego umieszczenia w placówce lub leczenia. Osoba jest informowana o prawie do niezależnego rzecznictwa przez swojego pracownika socjalnego (specjalistę ds. zdrowia psychicznego), personel szpitala lub organizację, która zapewnia rzeczników. Rolą adwokata jest zapewnienie, że osoba rozumie swoją sytuację i decyzje wydane przez sąd, wspieranie osoby w podejmowaniu decyzji dotyczących jej opieki i okoliczności lub wypowiadanie się w jej imieniu. Nie wolno im przedstawiać własnych poglądów ani zawierać aktów prawnych, takich jak umowy, w imieniu osoby. Nie mają automatycznego prawa dostępu do dokumentacji medycznej pacjenta, jednak pacjent może upoważnić ich do takiego dostępu, jak również dostępu do informacji dotyczących planowania lub zapewnienia opieki lub leczenia pacjenta. Mają prawo do udziału we wszystkich etapach procesu decyzyjnego.</w:t>
            </w:r>
          </w:p>
          <w:p w14:paraId="18AE42EA" w14:textId="196154E8" w:rsidR="005A380C" w:rsidRPr="005A380C" w:rsidRDefault="005A380C" w:rsidP="005A380C">
            <w:pPr>
              <w:spacing w:line="240" w:lineRule="auto"/>
              <w:jc w:val="both"/>
              <w:rPr>
                <w:sz w:val="24"/>
                <w:szCs w:val="24"/>
              </w:rPr>
            </w:pPr>
            <w:r w:rsidRPr="005A380C">
              <w:rPr>
                <w:sz w:val="24"/>
                <w:szCs w:val="24"/>
              </w:rPr>
              <w:t xml:space="preserve">Rzecznicy są niezależni od szpitali; są zatrudnieni przez organizacje finansowane przez władze lokalne i/lub </w:t>
            </w:r>
            <w:proofErr w:type="spellStart"/>
            <w:r w:rsidRPr="005A380C">
              <w:rPr>
                <w:sz w:val="24"/>
                <w:szCs w:val="24"/>
              </w:rPr>
              <w:t>National</w:t>
            </w:r>
            <w:proofErr w:type="spellEnd"/>
            <w:r w:rsidRPr="005A380C">
              <w:rPr>
                <w:sz w:val="24"/>
                <w:szCs w:val="24"/>
              </w:rPr>
              <w:t xml:space="preserve"> </w:t>
            </w:r>
            <w:proofErr w:type="spellStart"/>
            <w:r w:rsidRPr="005A380C">
              <w:rPr>
                <w:sz w:val="24"/>
                <w:szCs w:val="24"/>
              </w:rPr>
              <w:t>Health</w:t>
            </w:r>
            <w:proofErr w:type="spellEnd"/>
            <w:r w:rsidRPr="005A380C">
              <w:rPr>
                <w:sz w:val="24"/>
                <w:szCs w:val="24"/>
              </w:rPr>
              <w:t xml:space="preserve"> Service. Obowiązkiem władz lokalnych jest zapewnienie każdemu na swoim terenie dostępu do niezależnych rzeczników (</w:t>
            </w:r>
            <w:proofErr w:type="spellStart"/>
            <w:r w:rsidRPr="005A380C">
              <w:rPr>
                <w:sz w:val="24"/>
                <w:szCs w:val="24"/>
              </w:rPr>
              <w:t>supportów</w:t>
            </w:r>
            <w:proofErr w:type="spellEnd"/>
            <w:r w:rsidRPr="005A380C">
              <w:rPr>
                <w:sz w:val="24"/>
                <w:szCs w:val="24"/>
              </w:rPr>
              <w:t xml:space="preserve">) w razie potrzeby. Samo prawo nie przewiduje żadnych zabezpieczeń, ale Scottish independent </w:t>
            </w:r>
            <w:proofErr w:type="spellStart"/>
            <w:r w:rsidRPr="005A380C">
              <w:rPr>
                <w:sz w:val="24"/>
                <w:szCs w:val="24"/>
              </w:rPr>
              <w:t>advocacy</w:t>
            </w:r>
            <w:proofErr w:type="spellEnd"/>
            <w:r w:rsidRPr="005A380C">
              <w:rPr>
                <w:sz w:val="24"/>
                <w:szCs w:val="24"/>
              </w:rPr>
              <w:t xml:space="preserve"> </w:t>
            </w:r>
            <w:proofErr w:type="spellStart"/>
            <w:r w:rsidRPr="005A380C">
              <w:rPr>
                <w:sz w:val="24"/>
                <w:szCs w:val="24"/>
              </w:rPr>
              <w:t>alliance</w:t>
            </w:r>
            <w:proofErr w:type="spellEnd"/>
            <w:r w:rsidRPr="005A380C">
              <w:rPr>
                <w:sz w:val="24"/>
                <w:szCs w:val="24"/>
              </w:rPr>
              <w:t xml:space="preserve"> (SIAA) wydaje zasady i standardy, do których organizacja </w:t>
            </w:r>
            <w:proofErr w:type="spellStart"/>
            <w:r w:rsidRPr="005A380C">
              <w:rPr>
                <w:sz w:val="24"/>
                <w:szCs w:val="24"/>
              </w:rPr>
              <w:t>rzecznicza</w:t>
            </w:r>
            <w:proofErr w:type="spellEnd"/>
            <w:r w:rsidRPr="005A380C">
              <w:rPr>
                <w:sz w:val="24"/>
                <w:szCs w:val="24"/>
              </w:rPr>
              <w:t xml:space="preserve"> powinna się stosować. Władze lokalne nadzorują świadczenie usług </w:t>
            </w:r>
            <w:proofErr w:type="spellStart"/>
            <w:r w:rsidRPr="005A380C">
              <w:rPr>
                <w:sz w:val="24"/>
                <w:szCs w:val="24"/>
              </w:rPr>
              <w:t>rzeczniczych</w:t>
            </w:r>
            <w:proofErr w:type="spellEnd"/>
            <w:r w:rsidRPr="005A380C">
              <w:rPr>
                <w:sz w:val="24"/>
                <w:szCs w:val="24"/>
              </w:rPr>
              <w:t xml:space="preserve"> i mogą podjąć decyzję o zaprzestaniu finansowania, jeśli dojdzie do naruszenia kodeksu postępowania lub organizacja nie będzie przestrzegać standardów.</w:t>
            </w:r>
          </w:p>
          <w:p w14:paraId="319353BA" w14:textId="114F52FE" w:rsidR="005A380C" w:rsidRPr="005A380C" w:rsidRDefault="005A380C" w:rsidP="005A380C">
            <w:pPr>
              <w:spacing w:line="240" w:lineRule="auto"/>
              <w:jc w:val="both"/>
              <w:rPr>
                <w:sz w:val="24"/>
                <w:szCs w:val="24"/>
              </w:rPr>
            </w:pPr>
          </w:p>
          <w:p w14:paraId="47F38A21" w14:textId="164FD86A" w:rsidR="005A380C" w:rsidRPr="005A380C" w:rsidRDefault="005A380C" w:rsidP="005A380C">
            <w:pPr>
              <w:spacing w:line="240" w:lineRule="auto"/>
              <w:jc w:val="both"/>
              <w:rPr>
                <w:b/>
                <w:bCs/>
                <w:sz w:val="24"/>
                <w:szCs w:val="24"/>
              </w:rPr>
            </w:pPr>
            <w:r w:rsidRPr="005A380C">
              <w:rPr>
                <w:b/>
                <w:bCs/>
                <w:sz w:val="24"/>
                <w:szCs w:val="24"/>
              </w:rPr>
              <w:t>Hiszpania (Katalonia)</w:t>
            </w:r>
          </w:p>
          <w:p w14:paraId="2F804164" w14:textId="5EEF201C" w:rsidR="005A380C" w:rsidRPr="005A380C" w:rsidRDefault="005A380C" w:rsidP="005A380C">
            <w:pPr>
              <w:spacing w:line="240" w:lineRule="auto"/>
              <w:jc w:val="both"/>
              <w:rPr>
                <w:sz w:val="24"/>
                <w:szCs w:val="24"/>
              </w:rPr>
            </w:pPr>
            <w:r w:rsidRPr="005A380C">
              <w:rPr>
                <w:sz w:val="24"/>
                <w:szCs w:val="24"/>
              </w:rPr>
              <w:t xml:space="preserve">Katalonia posiada własne ramy prawne w zakresie prawa cywilnego. Znacząca reforma katalońskiego kodeksu cywilnego (CCC) w 2010 roku obejmowała integralną reformę i </w:t>
            </w:r>
            <w:proofErr w:type="spellStart"/>
            <w:r w:rsidRPr="005A380C">
              <w:rPr>
                <w:sz w:val="24"/>
                <w:szCs w:val="24"/>
              </w:rPr>
              <w:t>rekonceptualizację</w:t>
            </w:r>
            <w:proofErr w:type="spellEnd"/>
            <w:r w:rsidRPr="005A380C">
              <w:rPr>
                <w:sz w:val="24"/>
                <w:szCs w:val="24"/>
              </w:rPr>
              <w:t xml:space="preserve"> mechanizmów prawnych dostępnych w celu wspierania osób z niepełnosprawnością lub o złożonych potrzebach. W ramach reformy wprowadzono instrument respektujący zdolność prawną osoby: mechanizm pomocy.</w:t>
            </w:r>
          </w:p>
          <w:p w14:paraId="5F682278" w14:textId="4AE32971" w:rsidR="005A380C" w:rsidRPr="005A380C" w:rsidRDefault="005A380C" w:rsidP="005A380C">
            <w:pPr>
              <w:spacing w:line="240" w:lineRule="auto"/>
              <w:jc w:val="both"/>
              <w:rPr>
                <w:sz w:val="24"/>
                <w:szCs w:val="24"/>
              </w:rPr>
            </w:pPr>
            <w:r w:rsidRPr="005A380C">
              <w:rPr>
                <w:sz w:val="24"/>
                <w:szCs w:val="24"/>
              </w:rPr>
              <w:t xml:space="preserve">Pomoc jest instrumentem modułowym i elastycznym, który może obejmować zarówno wsparcie osób w jednym aspekcie ich życia (na przykład w zakresie opieki zdrowotnej), jak i połączenie kilku aspektów (opieka zdrowotna i zarządzanie finansami, a także postępowanie biurokratyczne, administracyjne lub prawne). Najważniejszą cechą pomocy jest to, że nie jest ona związana z wcześniejszym brakiem lub ograniczeniem zdolności do czynności prawnych danej osoby. Pomoc może być zainicjowana jedynie przez osobę, która domaga się wsparcia </w:t>
            </w:r>
            <w:r w:rsidRPr="005A380C">
              <w:rPr>
                <w:sz w:val="24"/>
                <w:szCs w:val="24"/>
              </w:rPr>
              <w:lastRenderedPageBreak/>
              <w:t>i respektuje jej życzenia i preferencje. Asystentem może być osoba fizyczna (członek rodziny, krewny lub przyjaciel), ale także osoba prawna, np. organizacje spełniające wymogi ustanowione przez Rząd Kataloński. Rząd finansuje takie usługi, a asystenci podlegają kontroli publicznej i są corocznie nadzorowani przez władze sądowe. Pomoc nie może naruszać praw osobistych, takich jak prawo do zawarcia małżeństwa, dziedziczenia, sporządzenia testamentu czy prawo do głosowania. Pomoc może być zakończona w każdym przypadku, gdy osoba korzystająca z pomocy podejmie taką decyzję.</w:t>
            </w:r>
          </w:p>
          <w:p w14:paraId="1C3383C7" w14:textId="47FFC81C" w:rsidR="005A380C" w:rsidRPr="005A380C" w:rsidRDefault="005A380C" w:rsidP="005A380C">
            <w:pPr>
              <w:spacing w:line="240" w:lineRule="auto"/>
              <w:jc w:val="both"/>
              <w:rPr>
                <w:sz w:val="24"/>
                <w:szCs w:val="24"/>
              </w:rPr>
            </w:pPr>
            <w:r w:rsidRPr="005A380C">
              <w:rPr>
                <w:sz w:val="24"/>
                <w:szCs w:val="24"/>
              </w:rPr>
              <w:t>Asysta jest coraz częściej stosowana w celu uniknięcia pozbawienia zdolności do czynności prawnych i stosowania zastępczych mechanizmów podejmowania decyzji.</w:t>
            </w:r>
          </w:p>
          <w:p w14:paraId="0FB78278" w14:textId="55C96E8E" w:rsidR="005A380C" w:rsidRPr="005A380C" w:rsidRDefault="005A380C" w:rsidP="005A380C">
            <w:pPr>
              <w:spacing w:line="240" w:lineRule="auto"/>
              <w:jc w:val="both"/>
              <w:rPr>
                <w:sz w:val="24"/>
                <w:szCs w:val="24"/>
              </w:rPr>
            </w:pPr>
          </w:p>
        </w:tc>
      </w:tr>
      <w:tr w:rsidR="005A380C" w:rsidRPr="008B4FE6" w14:paraId="640801AA" w14:textId="77777777" w:rsidTr="003A573A">
        <w:trPr>
          <w:trHeight w:val="359"/>
        </w:trPr>
        <w:tc>
          <w:tcPr>
            <w:tcW w:w="5000" w:type="pct"/>
            <w:gridSpan w:val="20"/>
            <w:shd w:val="clear" w:color="auto" w:fill="99CCFF"/>
            <w:vAlign w:val="center"/>
          </w:tcPr>
          <w:p w14:paraId="3A5FB2F6" w14:textId="77777777" w:rsidR="005A380C" w:rsidRPr="008B4FE6" w:rsidRDefault="005A380C" w:rsidP="005A380C">
            <w:pPr>
              <w:numPr>
                <w:ilvl w:val="0"/>
                <w:numId w:val="4"/>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lastRenderedPageBreak/>
              <w:t>Podmioty, na które oddziałuje projekt</w:t>
            </w:r>
          </w:p>
        </w:tc>
      </w:tr>
      <w:tr w:rsidR="005A380C" w:rsidRPr="008B4FE6" w14:paraId="0E93945B" w14:textId="77777777" w:rsidTr="00FC7D95">
        <w:trPr>
          <w:trHeight w:val="142"/>
        </w:trPr>
        <w:tc>
          <w:tcPr>
            <w:tcW w:w="844" w:type="pct"/>
            <w:gridSpan w:val="2"/>
            <w:shd w:val="clear" w:color="auto" w:fill="auto"/>
          </w:tcPr>
          <w:p w14:paraId="433EC8F8" w14:textId="77777777" w:rsidR="005A380C" w:rsidRPr="008B4FE6" w:rsidRDefault="005A380C" w:rsidP="005A380C">
            <w:pPr>
              <w:spacing w:before="40" w:line="240" w:lineRule="auto"/>
              <w:jc w:val="center"/>
              <w:rPr>
                <w:rFonts w:ascii="Times New Roman" w:hAnsi="Times New Roman"/>
                <w:color w:val="000000"/>
                <w:spacing w:val="-2"/>
              </w:rPr>
            </w:pPr>
            <w:r w:rsidRPr="008B4FE6">
              <w:rPr>
                <w:rFonts w:ascii="Times New Roman" w:hAnsi="Times New Roman"/>
                <w:color w:val="000000"/>
                <w:spacing w:val="-2"/>
              </w:rPr>
              <w:t>Grupa</w:t>
            </w:r>
          </w:p>
        </w:tc>
        <w:tc>
          <w:tcPr>
            <w:tcW w:w="897" w:type="pct"/>
            <w:gridSpan w:val="3"/>
            <w:shd w:val="clear" w:color="auto" w:fill="auto"/>
          </w:tcPr>
          <w:p w14:paraId="4C48A98E" w14:textId="77777777" w:rsidR="005A380C" w:rsidRPr="008B4FE6" w:rsidRDefault="005A380C" w:rsidP="005A380C">
            <w:pPr>
              <w:spacing w:before="40" w:line="240" w:lineRule="auto"/>
              <w:jc w:val="center"/>
              <w:rPr>
                <w:rFonts w:ascii="Times New Roman" w:hAnsi="Times New Roman"/>
                <w:color w:val="000000"/>
                <w:spacing w:val="-2"/>
              </w:rPr>
            </w:pPr>
            <w:r>
              <w:rPr>
                <w:rFonts w:ascii="Times New Roman" w:hAnsi="Times New Roman"/>
                <w:color w:val="000000"/>
                <w:spacing w:val="-2"/>
              </w:rPr>
              <w:t>Wielkość</w:t>
            </w:r>
          </w:p>
        </w:tc>
        <w:tc>
          <w:tcPr>
            <w:tcW w:w="701" w:type="pct"/>
            <w:gridSpan w:val="4"/>
            <w:shd w:val="clear" w:color="auto" w:fill="auto"/>
          </w:tcPr>
          <w:p w14:paraId="35334418" w14:textId="77777777" w:rsidR="005A380C" w:rsidRPr="008B4FE6" w:rsidRDefault="005A380C" w:rsidP="005A380C">
            <w:pPr>
              <w:spacing w:before="40" w:line="240" w:lineRule="auto"/>
              <w:jc w:val="center"/>
              <w:rPr>
                <w:rFonts w:ascii="Times New Roman" w:hAnsi="Times New Roman"/>
                <w:color w:val="000000"/>
                <w:spacing w:val="-2"/>
              </w:rPr>
            </w:pPr>
            <w:r w:rsidRPr="008B4FE6">
              <w:rPr>
                <w:rFonts w:ascii="Times New Roman" w:hAnsi="Times New Roman"/>
                <w:color w:val="000000"/>
                <w:spacing w:val="-2"/>
              </w:rPr>
              <w:t>Źródło danych</w:t>
            </w:r>
            <w:r w:rsidRPr="008B4FE6" w:rsidDel="00260F33">
              <w:rPr>
                <w:rFonts w:ascii="Times New Roman" w:hAnsi="Times New Roman"/>
                <w:color w:val="000000"/>
                <w:spacing w:val="-2"/>
              </w:rPr>
              <w:t xml:space="preserve"> </w:t>
            </w:r>
          </w:p>
        </w:tc>
        <w:tc>
          <w:tcPr>
            <w:tcW w:w="2558" w:type="pct"/>
            <w:gridSpan w:val="11"/>
            <w:shd w:val="clear" w:color="auto" w:fill="auto"/>
          </w:tcPr>
          <w:p w14:paraId="4C50C970" w14:textId="77777777" w:rsidR="005A380C" w:rsidRPr="008B4FE6" w:rsidRDefault="005A380C" w:rsidP="005A380C">
            <w:pPr>
              <w:spacing w:before="40" w:line="240" w:lineRule="auto"/>
              <w:jc w:val="center"/>
              <w:rPr>
                <w:rFonts w:ascii="Times New Roman" w:hAnsi="Times New Roman"/>
                <w:color w:val="000000"/>
                <w:spacing w:val="-2"/>
              </w:rPr>
            </w:pPr>
            <w:r w:rsidRPr="008B4FE6">
              <w:rPr>
                <w:rFonts w:ascii="Times New Roman" w:hAnsi="Times New Roman"/>
                <w:color w:val="000000"/>
                <w:spacing w:val="-2"/>
              </w:rPr>
              <w:t>Oddziaływanie</w:t>
            </w:r>
          </w:p>
        </w:tc>
      </w:tr>
      <w:tr w:rsidR="005A380C" w:rsidRPr="008B4FE6" w14:paraId="1224EF07" w14:textId="77777777" w:rsidTr="00FC7D95">
        <w:trPr>
          <w:trHeight w:val="142"/>
        </w:trPr>
        <w:tc>
          <w:tcPr>
            <w:tcW w:w="844" w:type="pct"/>
            <w:gridSpan w:val="2"/>
            <w:shd w:val="clear" w:color="auto" w:fill="auto"/>
          </w:tcPr>
          <w:p w14:paraId="22235B63" w14:textId="7523ED83" w:rsidR="005A380C" w:rsidRPr="00F40389" w:rsidRDefault="00DC58FF" w:rsidP="005A380C">
            <w:pPr>
              <w:spacing w:line="240" w:lineRule="auto"/>
              <w:rPr>
                <w:noProof/>
                <w:spacing w:val="-2"/>
                <w:highlight w:val="yellow"/>
              </w:rPr>
            </w:pPr>
            <w:r w:rsidRPr="2A43052F">
              <w:rPr>
                <w:noProof/>
              </w:rPr>
              <w:t>Minister Sprawiedliowści</w:t>
            </w:r>
          </w:p>
        </w:tc>
        <w:tc>
          <w:tcPr>
            <w:tcW w:w="897" w:type="pct"/>
            <w:gridSpan w:val="3"/>
            <w:shd w:val="clear" w:color="auto" w:fill="auto"/>
          </w:tcPr>
          <w:p w14:paraId="1FC39945" w14:textId="4F3334AE" w:rsidR="005A380C" w:rsidRPr="00F40389" w:rsidRDefault="00C539F4" w:rsidP="005A380C">
            <w:pPr>
              <w:spacing w:line="240" w:lineRule="auto"/>
              <w:rPr>
                <w:rFonts w:ascii="Times New Roman" w:hAnsi="Times New Roman"/>
                <w:color w:val="000000"/>
                <w:spacing w:val="-2"/>
                <w:highlight w:val="yellow"/>
              </w:rPr>
            </w:pPr>
            <w:r w:rsidRPr="00C539F4">
              <w:rPr>
                <w:rFonts w:ascii="Times New Roman" w:hAnsi="Times New Roman"/>
                <w:color w:val="000000"/>
                <w:spacing w:val="-2"/>
              </w:rPr>
              <w:t>1</w:t>
            </w:r>
          </w:p>
        </w:tc>
        <w:tc>
          <w:tcPr>
            <w:tcW w:w="701" w:type="pct"/>
            <w:gridSpan w:val="4"/>
            <w:shd w:val="clear" w:color="auto" w:fill="auto"/>
          </w:tcPr>
          <w:p w14:paraId="0562CB0E" w14:textId="5F0E3106" w:rsidR="005A380C" w:rsidRPr="00F40389" w:rsidRDefault="005A380C" w:rsidP="005A380C">
            <w:pPr>
              <w:spacing w:line="240" w:lineRule="auto"/>
              <w:rPr>
                <w:rFonts w:ascii="Times New Roman" w:hAnsi="Times New Roman"/>
                <w:color w:val="000000"/>
                <w:spacing w:val="-2"/>
                <w:highlight w:val="yellow"/>
              </w:rPr>
            </w:pPr>
          </w:p>
        </w:tc>
        <w:tc>
          <w:tcPr>
            <w:tcW w:w="2558" w:type="pct"/>
            <w:gridSpan w:val="11"/>
            <w:shd w:val="clear" w:color="auto" w:fill="auto"/>
          </w:tcPr>
          <w:p w14:paraId="34CE0A41" w14:textId="0789C853" w:rsidR="005A380C" w:rsidRPr="00F40389" w:rsidRDefault="00331989" w:rsidP="005A380C">
            <w:pPr>
              <w:spacing w:line="240" w:lineRule="auto"/>
              <w:rPr>
                <w:rFonts w:ascii="Times New Roman" w:hAnsi="Times New Roman"/>
                <w:color w:val="000000"/>
                <w:spacing w:val="-2"/>
                <w:highlight w:val="yellow"/>
              </w:rPr>
            </w:pPr>
            <w:r w:rsidRPr="7303C1DA">
              <w:rPr>
                <w:rFonts w:ascii="Times New Roman" w:hAnsi="Times New Roman"/>
                <w:color w:val="000000" w:themeColor="text1"/>
              </w:rPr>
              <w:t>Stosowanie przepisów ustawy w zakresie ustanowienia asysty prawnej, pełnomocnictwa wspierającego, pełnomocnictwa na przyszłość</w:t>
            </w:r>
          </w:p>
        </w:tc>
      </w:tr>
      <w:tr w:rsidR="005A380C" w:rsidRPr="008B4FE6" w14:paraId="00F51A85" w14:textId="77777777" w:rsidTr="00FC7D95">
        <w:trPr>
          <w:trHeight w:val="142"/>
        </w:trPr>
        <w:tc>
          <w:tcPr>
            <w:tcW w:w="844" w:type="pct"/>
            <w:gridSpan w:val="2"/>
            <w:shd w:val="clear" w:color="auto" w:fill="auto"/>
          </w:tcPr>
          <w:p w14:paraId="0C6B3CD5" w14:textId="5AC618E7" w:rsidR="005A380C" w:rsidRPr="00FC7D95" w:rsidRDefault="00DC58FF" w:rsidP="005A380C">
            <w:pPr>
              <w:spacing w:line="240" w:lineRule="auto"/>
              <w:rPr>
                <w:rFonts w:asciiTheme="minorHAnsi" w:hAnsiTheme="minorHAnsi" w:cstheme="minorHAnsi"/>
                <w:noProof/>
                <w:spacing w:val="-2"/>
                <w:highlight w:val="yellow"/>
              </w:rPr>
            </w:pPr>
            <w:r w:rsidRPr="00FC7D95">
              <w:rPr>
                <w:rFonts w:asciiTheme="minorHAnsi" w:hAnsiTheme="minorHAnsi" w:cstheme="minorHAnsi"/>
                <w:noProof/>
              </w:rPr>
              <w:t>Osoby ubezwłasnowolnione</w:t>
            </w:r>
          </w:p>
        </w:tc>
        <w:tc>
          <w:tcPr>
            <w:tcW w:w="897" w:type="pct"/>
            <w:gridSpan w:val="3"/>
            <w:shd w:val="clear" w:color="auto" w:fill="auto"/>
          </w:tcPr>
          <w:p w14:paraId="62EBF3C5" w14:textId="4B1E3C16" w:rsidR="005A380C" w:rsidRPr="00FC7D95" w:rsidRDefault="00FC7D95" w:rsidP="005A380C">
            <w:pPr>
              <w:spacing w:line="240" w:lineRule="auto"/>
              <w:rPr>
                <w:rFonts w:asciiTheme="minorHAnsi" w:hAnsiTheme="minorHAnsi" w:cstheme="minorHAnsi"/>
                <w:color w:val="000000"/>
                <w:spacing w:val="-2"/>
                <w:highlight w:val="yellow"/>
              </w:rPr>
            </w:pPr>
            <w:r w:rsidRPr="00FC7D95">
              <w:rPr>
                <w:rFonts w:asciiTheme="minorHAnsi" w:hAnsiTheme="minorHAnsi" w:cstheme="minorHAnsi"/>
                <w:color w:val="000000"/>
                <w:spacing w:val="-2"/>
              </w:rPr>
              <w:t>100000</w:t>
            </w:r>
            <w:r w:rsidR="002F62F6">
              <w:rPr>
                <w:rFonts w:asciiTheme="minorHAnsi" w:hAnsiTheme="minorHAnsi" w:cstheme="minorHAnsi"/>
                <w:color w:val="000000"/>
                <w:spacing w:val="-2"/>
              </w:rPr>
              <w:t xml:space="preserve"> (w okresie przejściowym)</w:t>
            </w:r>
          </w:p>
        </w:tc>
        <w:tc>
          <w:tcPr>
            <w:tcW w:w="701" w:type="pct"/>
            <w:gridSpan w:val="4"/>
            <w:shd w:val="clear" w:color="auto" w:fill="auto"/>
          </w:tcPr>
          <w:p w14:paraId="6D98A12B" w14:textId="5F61D893" w:rsidR="005A380C" w:rsidRPr="00FC7D95" w:rsidRDefault="00FC7D95" w:rsidP="005A380C">
            <w:pPr>
              <w:spacing w:line="240" w:lineRule="auto"/>
              <w:rPr>
                <w:rFonts w:asciiTheme="minorHAnsi" w:hAnsiTheme="minorHAnsi" w:cstheme="minorHAnsi"/>
                <w:color w:val="000000"/>
                <w:spacing w:val="-2"/>
                <w:highlight w:val="yellow"/>
              </w:rPr>
            </w:pPr>
            <w:r w:rsidRPr="00FC7D95">
              <w:rPr>
                <w:rFonts w:asciiTheme="minorHAnsi" w:hAnsiTheme="minorHAnsi" w:cstheme="minorHAnsi"/>
                <w:color w:val="000000"/>
                <w:spacing w:val="-2"/>
              </w:rPr>
              <w:t>Dane na podstawie RPO</w:t>
            </w:r>
          </w:p>
        </w:tc>
        <w:tc>
          <w:tcPr>
            <w:tcW w:w="2558" w:type="pct"/>
            <w:gridSpan w:val="11"/>
            <w:shd w:val="clear" w:color="auto" w:fill="auto"/>
          </w:tcPr>
          <w:p w14:paraId="2946DB82" w14:textId="326B320D" w:rsidR="005A380C" w:rsidRPr="00FC7D95" w:rsidRDefault="00331989" w:rsidP="005A380C">
            <w:pPr>
              <w:spacing w:line="240" w:lineRule="auto"/>
              <w:rPr>
                <w:rFonts w:asciiTheme="minorHAnsi" w:hAnsiTheme="minorHAnsi" w:cstheme="minorHAnsi"/>
                <w:color w:val="000000"/>
                <w:spacing w:val="-2"/>
                <w:highlight w:val="yellow"/>
              </w:rPr>
            </w:pPr>
            <w:r w:rsidRPr="00FC7D95">
              <w:rPr>
                <w:rFonts w:asciiTheme="minorHAnsi" w:hAnsiTheme="minorHAnsi" w:cstheme="minorHAnsi"/>
                <w:color w:val="000000" w:themeColor="text1"/>
              </w:rPr>
              <w:t>Ochrona praw osoby, urzeczywistnienie woli osoby, wsparcie w podejmowaniu decyzji i wyrażaniu woli</w:t>
            </w:r>
          </w:p>
        </w:tc>
      </w:tr>
      <w:tr w:rsidR="00DC58FF" w:rsidRPr="008B4FE6" w14:paraId="2A30F076" w14:textId="77777777" w:rsidTr="00FC7D95">
        <w:trPr>
          <w:trHeight w:val="142"/>
        </w:trPr>
        <w:tc>
          <w:tcPr>
            <w:tcW w:w="844" w:type="pct"/>
            <w:gridSpan w:val="2"/>
            <w:shd w:val="clear" w:color="auto" w:fill="auto"/>
          </w:tcPr>
          <w:p w14:paraId="7F5E95FF" w14:textId="6CC8669E" w:rsidR="00DC58FF" w:rsidRPr="00FC7D95" w:rsidRDefault="00DC58FF" w:rsidP="005A380C">
            <w:pPr>
              <w:spacing w:line="240" w:lineRule="auto"/>
              <w:rPr>
                <w:rFonts w:asciiTheme="minorHAnsi" w:hAnsiTheme="minorHAnsi" w:cstheme="minorHAnsi"/>
                <w:noProof/>
              </w:rPr>
            </w:pPr>
            <w:r w:rsidRPr="00FC7D95">
              <w:rPr>
                <w:rFonts w:asciiTheme="minorHAnsi" w:hAnsiTheme="minorHAnsi" w:cstheme="minorHAnsi"/>
                <w:noProof/>
              </w:rPr>
              <w:t>Pełnomocnicy wspierający</w:t>
            </w:r>
          </w:p>
        </w:tc>
        <w:tc>
          <w:tcPr>
            <w:tcW w:w="897" w:type="pct"/>
            <w:gridSpan w:val="3"/>
            <w:shd w:val="clear" w:color="auto" w:fill="auto"/>
          </w:tcPr>
          <w:p w14:paraId="6AAD5404" w14:textId="1EE71F75" w:rsidR="00DC58FF" w:rsidRPr="00FC7D95" w:rsidRDefault="002F62F6" w:rsidP="005A380C">
            <w:pPr>
              <w:spacing w:line="240" w:lineRule="auto"/>
              <w:rPr>
                <w:rFonts w:asciiTheme="minorHAnsi" w:hAnsiTheme="minorHAnsi" w:cstheme="minorHAnsi"/>
                <w:color w:val="000000"/>
                <w:spacing w:val="-2"/>
                <w:highlight w:val="yellow"/>
              </w:rPr>
            </w:pPr>
            <w:r>
              <w:rPr>
                <w:rFonts w:asciiTheme="minorHAnsi" w:hAnsiTheme="minorHAnsi" w:cstheme="minorHAnsi"/>
                <w:color w:val="000000"/>
                <w:spacing w:val="-2"/>
              </w:rPr>
              <w:t xml:space="preserve">10.000 - </w:t>
            </w:r>
            <w:r w:rsidRPr="002F62F6">
              <w:rPr>
                <w:rFonts w:asciiTheme="minorHAnsi" w:hAnsiTheme="minorHAnsi" w:cstheme="minorHAnsi"/>
                <w:color w:val="000000"/>
                <w:spacing w:val="-2"/>
              </w:rPr>
              <w:t>25.000 rocznie (w okresie przejściowym), 5</w:t>
            </w:r>
            <w:r>
              <w:rPr>
                <w:rFonts w:asciiTheme="minorHAnsi" w:hAnsiTheme="minorHAnsi" w:cstheme="minorHAnsi"/>
                <w:color w:val="000000"/>
                <w:spacing w:val="-2"/>
              </w:rPr>
              <w:t>000</w:t>
            </w:r>
            <w:r w:rsidRPr="002F62F6">
              <w:rPr>
                <w:rFonts w:asciiTheme="minorHAnsi" w:hAnsiTheme="minorHAnsi" w:cstheme="minorHAnsi"/>
                <w:color w:val="000000"/>
                <w:spacing w:val="-2"/>
              </w:rPr>
              <w:t xml:space="preserve"> w kolejnych latach</w:t>
            </w:r>
          </w:p>
        </w:tc>
        <w:tc>
          <w:tcPr>
            <w:tcW w:w="701" w:type="pct"/>
            <w:gridSpan w:val="4"/>
            <w:shd w:val="clear" w:color="auto" w:fill="auto"/>
          </w:tcPr>
          <w:p w14:paraId="167D0B60" w14:textId="63561AC4" w:rsidR="00DC58FF" w:rsidRPr="00FC7D95" w:rsidRDefault="00331989" w:rsidP="005A380C">
            <w:pPr>
              <w:spacing w:line="240" w:lineRule="auto"/>
              <w:rPr>
                <w:rFonts w:asciiTheme="minorHAnsi" w:hAnsiTheme="minorHAnsi" w:cstheme="minorHAnsi"/>
                <w:color w:val="000000"/>
                <w:spacing w:val="-2"/>
                <w:highlight w:val="yellow"/>
              </w:rPr>
            </w:pPr>
            <w:r w:rsidRPr="00FC7D95">
              <w:rPr>
                <w:rFonts w:asciiTheme="minorHAnsi" w:hAnsiTheme="minorHAnsi" w:cstheme="minorHAnsi"/>
                <w:color w:val="000000" w:themeColor="text1"/>
              </w:rPr>
              <w:t>Szacowana liczba osób objętych pełnomocnictwem wspierającym</w:t>
            </w:r>
          </w:p>
        </w:tc>
        <w:tc>
          <w:tcPr>
            <w:tcW w:w="2558" w:type="pct"/>
            <w:gridSpan w:val="11"/>
            <w:shd w:val="clear" w:color="auto" w:fill="auto"/>
          </w:tcPr>
          <w:p w14:paraId="562A2742" w14:textId="5E991944" w:rsidR="00DC58FF" w:rsidRPr="00FC7D95" w:rsidRDefault="00331989" w:rsidP="005A380C">
            <w:pPr>
              <w:spacing w:line="240" w:lineRule="auto"/>
              <w:rPr>
                <w:rFonts w:asciiTheme="minorHAnsi" w:hAnsiTheme="minorHAnsi" w:cstheme="minorHAnsi"/>
                <w:color w:val="000000"/>
                <w:spacing w:val="-2"/>
                <w:highlight w:val="yellow"/>
              </w:rPr>
            </w:pPr>
            <w:r w:rsidRPr="00FC7D95">
              <w:rPr>
                <w:rFonts w:asciiTheme="minorHAnsi" w:hAnsiTheme="minorHAnsi" w:cstheme="minorHAnsi"/>
                <w:color w:val="000000" w:themeColor="text1"/>
              </w:rPr>
              <w:t>Ochrona praw osoby, urzeczywistnienie woli osoby, wsparcie w podejmowaniu decyzji i wyrażaniu woli</w:t>
            </w:r>
          </w:p>
        </w:tc>
      </w:tr>
      <w:tr w:rsidR="005A380C" w:rsidRPr="008B4FE6" w14:paraId="38B06776" w14:textId="77777777" w:rsidTr="00FC7D95">
        <w:trPr>
          <w:trHeight w:val="142"/>
        </w:trPr>
        <w:tc>
          <w:tcPr>
            <w:tcW w:w="844" w:type="pct"/>
            <w:gridSpan w:val="2"/>
            <w:shd w:val="clear" w:color="auto" w:fill="auto"/>
          </w:tcPr>
          <w:p w14:paraId="516C3BE1" w14:textId="4FEA4D6E" w:rsidR="005A380C" w:rsidRPr="00FC7D95" w:rsidRDefault="00331989" w:rsidP="005A380C">
            <w:pPr>
              <w:tabs>
                <w:tab w:val="left" w:pos="1560"/>
              </w:tabs>
              <w:spacing w:line="240" w:lineRule="auto"/>
              <w:rPr>
                <w:rFonts w:asciiTheme="minorHAnsi" w:hAnsiTheme="minorHAnsi" w:cstheme="minorHAnsi"/>
                <w:noProof/>
                <w:highlight w:val="yellow"/>
              </w:rPr>
            </w:pPr>
            <w:r w:rsidRPr="00FC7D95">
              <w:rPr>
                <w:rFonts w:asciiTheme="minorHAnsi" w:hAnsiTheme="minorHAnsi" w:cstheme="minorHAnsi"/>
                <w:noProof/>
              </w:rPr>
              <w:t>Asystenci prawni</w:t>
            </w:r>
          </w:p>
        </w:tc>
        <w:tc>
          <w:tcPr>
            <w:tcW w:w="897" w:type="pct"/>
            <w:gridSpan w:val="3"/>
            <w:shd w:val="clear" w:color="auto" w:fill="auto"/>
          </w:tcPr>
          <w:p w14:paraId="61CDCEAD" w14:textId="79D62701" w:rsidR="005A380C" w:rsidRPr="00FC7D95" w:rsidRDefault="002F62F6" w:rsidP="005A380C">
            <w:pPr>
              <w:spacing w:line="240" w:lineRule="auto"/>
              <w:rPr>
                <w:rFonts w:asciiTheme="minorHAnsi" w:hAnsiTheme="minorHAnsi" w:cstheme="minorHAnsi"/>
                <w:color w:val="000000"/>
                <w:spacing w:val="-2"/>
                <w:highlight w:val="yellow"/>
              </w:rPr>
            </w:pPr>
            <w:r w:rsidRPr="002F62F6">
              <w:rPr>
                <w:rFonts w:asciiTheme="minorHAnsi" w:hAnsiTheme="minorHAnsi" w:cstheme="minorHAnsi"/>
                <w:color w:val="000000"/>
                <w:spacing w:val="-2"/>
              </w:rPr>
              <w:t>10.000 – 14.000 rocznie (w okresie przejściowym), 7000 w kolejnych latach</w:t>
            </w:r>
          </w:p>
        </w:tc>
        <w:tc>
          <w:tcPr>
            <w:tcW w:w="701" w:type="pct"/>
            <w:gridSpan w:val="4"/>
            <w:shd w:val="clear" w:color="auto" w:fill="auto"/>
          </w:tcPr>
          <w:p w14:paraId="6BB9E253" w14:textId="76728CF9" w:rsidR="005A380C" w:rsidRPr="00FC7D95" w:rsidRDefault="00331989" w:rsidP="005A380C">
            <w:pPr>
              <w:spacing w:line="240" w:lineRule="auto"/>
              <w:rPr>
                <w:rFonts w:asciiTheme="minorHAnsi" w:hAnsiTheme="minorHAnsi" w:cstheme="minorHAnsi"/>
                <w:color w:val="000000"/>
                <w:spacing w:val="-2"/>
                <w:highlight w:val="yellow"/>
              </w:rPr>
            </w:pPr>
            <w:r w:rsidRPr="00FC7D95">
              <w:rPr>
                <w:rFonts w:asciiTheme="minorHAnsi" w:hAnsiTheme="minorHAnsi" w:cstheme="minorHAnsi"/>
                <w:color w:val="000000" w:themeColor="text1"/>
              </w:rPr>
              <w:t>Szacowana liczba osób objętych asystą prawną</w:t>
            </w:r>
          </w:p>
        </w:tc>
        <w:tc>
          <w:tcPr>
            <w:tcW w:w="2558" w:type="pct"/>
            <w:gridSpan w:val="11"/>
            <w:shd w:val="clear" w:color="auto" w:fill="auto"/>
          </w:tcPr>
          <w:p w14:paraId="23DE523C" w14:textId="556BE939" w:rsidR="005A380C" w:rsidRPr="00FC7D95" w:rsidRDefault="00331989" w:rsidP="005A380C">
            <w:pPr>
              <w:spacing w:line="240" w:lineRule="auto"/>
              <w:rPr>
                <w:rFonts w:asciiTheme="minorHAnsi" w:hAnsiTheme="minorHAnsi" w:cstheme="minorHAnsi"/>
                <w:color w:val="000000"/>
                <w:spacing w:val="-2"/>
                <w:highlight w:val="yellow"/>
              </w:rPr>
            </w:pPr>
            <w:r w:rsidRPr="00FC7D95">
              <w:rPr>
                <w:rFonts w:asciiTheme="minorHAnsi" w:hAnsiTheme="minorHAnsi" w:cstheme="minorHAnsi"/>
                <w:color w:val="000000" w:themeColor="text1"/>
              </w:rPr>
              <w:t>Ochrona praw osoby, urzeczywistnienie woli osoby, wsparcie w podejmowaniu decyzji i wyrażaniu woli</w:t>
            </w:r>
          </w:p>
        </w:tc>
      </w:tr>
      <w:tr w:rsidR="00DC58FF" w:rsidRPr="008B4FE6" w14:paraId="30D0FD1C" w14:textId="77777777" w:rsidTr="00FC7D95">
        <w:trPr>
          <w:trHeight w:val="142"/>
        </w:trPr>
        <w:tc>
          <w:tcPr>
            <w:tcW w:w="844" w:type="pct"/>
            <w:gridSpan w:val="2"/>
            <w:shd w:val="clear" w:color="auto" w:fill="auto"/>
          </w:tcPr>
          <w:p w14:paraId="7F69A2F2" w14:textId="4A1A3BE4" w:rsidR="00DC58FF" w:rsidRPr="00FC7D95" w:rsidRDefault="00FC7D95" w:rsidP="005A380C">
            <w:pPr>
              <w:tabs>
                <w:tab w:val="left" w:pos="1560"/>
              </w:tabs>
              <w:spacing w:line="240" w:lineRule="auto"/>
              <w:rPr>
                <w:rFonts w:asciiTheme="minorHAnsi" w:hAnsiTheme="minorHAnsi" w:cstheme="minorHAnsi"/>
                <w:noProof/>
              </w:rPr>
            </w:pPr>
            <w:r w:rsidRPr="00FC7D95">
              <w:rPr>
                <w:rFonts w:asciiTheme="minorHAnsi" w:hAnsiTheme="minorHAnsi" w:cstheme="minorHAnsi"/>
                <w:noProof/>
              </w:rPr>
              <w:t>Pełnomocnicy na przyszłość</w:t>
            </w:r>
          </w:p>
        </w:tc>
        <w:tc>
          <w:tcPr>
            <w:tcW w:w="897" w:type="pct"/>
            <w:gridSpan w:val="3"/>
            <w:shd w:val="clear" w:color="auto" w:fill="auto"/>
          </w:tcPr>
          <w:p w14:paraId="129D246A" w14:textId="6C0D7122" w:rsidR="00DC58FF" w:rsidRPr="00FC7D95" w:rsidRDefault="002F62F6" w:rsidP="005A380C">
            <w:pPr>
              <w:spacing w:line="240" w:lineRule="auto"/>
              <w:rPr>
                <w:rFonts w:asciiTheme="minorHAnsi" w:hAnsiTheme="minorHAnsi" w:cstheme="minorHAnsi"/>
                <w:color w:val="000000"/>
                <w:spacing w:val="-2"/>
                <w:highlight w:val="yellow"/>
              </w:rPr>
            </w:pPr>
            <w:r w:rsidRPr="002F62F6">
              <w:rPr>
                <w:rFonts w:asciiTheme="minorHAnsi" w:hAnsiTheme="minorHAnsi" w:cstheme="minorHAnsi"/>
                <w:color w:val="000000"/>
                <w:spacing w:val="-2"/>
              </w:rPr>
              <w:t>20000-40000 (w okresie przejściowym), 40000 w kolejnych latach</w:t>
            </w:r>
          </w:p>
        </w:tc>
        <w:tc>
          <w:tcPr>
            <w:tcW w:w="701" w:type="pct"/>
            <w:gridSpan w:val="4"/>
            <w:shd w:val="clear" w:color="auto" w:fill="auto"/>
          </w:tcPr>
          <w:p w14:paraId="318AABC8" w14:textId="1372284F" w:rsidR="00DC58FF" w:rsidRPr="00FC7D95" w:rsidRDefault="00331989" w:rsidP="005A380C">
            <w:pPr>
              <w:spacing w:line="240" w:lineRule="auto"/>
              <w:rPr>
                <w:rFonts w:asciiTheme="minorHAnsi" w:hAnsiTheme="minorHAnsi" w:cstheme="minorHAnsi"/>
                <w:color w:val="000000"/>
                <w:spacing w:val="-2"/>
                <w:highlight w:val="yellow"/>
              </w:rPr>
            </w:pPr>
            <w:r w:rsidRPr="00FC7D95">
              <w:rPr>
                <w:rFonts w:asciiTheme="minorHAnsi" w:hAnsiTheme="minorHAnsi" w:cstheme="minorHAnsi"/>
                <w:color w:val="000000" w:themeColor="text1"/>
              </w:rPr>
              <w:t>Szacowana liczba udzielonych pełnomocnictw na przyszłość</w:t>
            </w:r>
          </w:p>
        </w:tc>
        <w:tc>
          <w:tcPr>
            <w:tcW w:w="2558" w:type="pct"/>
            <w:gridSpan w:val="11"/>
            <w:shd w:val="clear" w:color="auto" w:fill="auto"/>
          </w:tcPr>
          <w:p w14:paraId="2FECF71E" w14:textId="3B2A0B35" w:rsidR="00DC58FF" w:rsidRPr="00FC7D95" w:rsidRDefault="00331989" w:rsidP="005A380C">
            <w:pPr>
              <w:spacing w:line="240" w:lineRule="auto"/>
              <w:rPr>
                <w:rFonts w:asciiTheme="minorHAnsi" w:hAnsiTheme="minorHAnsi" w:cstheme="minorHAnsi"/>
                <w:color w:val="000000"/>
                <w:spacing w:val="-2"/>
                <w:highlight w:val="yellow"/>
              </w:rPr>
            </w:pPr>
            <w:r w:rsidRPr="00FC7D95">
              <w:rPr>
                <w:rFonts w:asciiTheme="minorHAnsi" w:hAnsiTheme="minorHAnsi" w:cstheme="minorHAnsi"/>
                <w:color w:val="000000" w:themeColor="text1"/>
              </w:rPr>
              <w:t>Ochrona praw osoby, urzeczywistnienie woli osoby, wsparcie w podejmowaniu decyzji i wyrażaniu woli</w:t>
            </w:r>
          </w:p>
        </w:tc>
      </w:tr>
      <w:tr w:rsidR="00FC7D95" w:rsidRPr="008B4FE6" w14:paraId="66C2F159" w14:textId="77777777" w:rsidTr="00FC7D95">
        <w:trPr>
          <w:trHeight w:val="142"/>
        </w:trPr>
        <w:tc>
          <w:tcPr>
            <w:tcW w:w="844" w:type="pct"/>
            <w:gridSpan w:val="2"/>
            <w:shd w:val="clear" w:color="auto" w:fill="auto"/>
          </w:tcPr>
          <w:p w14:paraId="7BBB00D0" w14:textId="0CE00587" w:rsidR="00FC7D95" w:rsidRPr="00FC7D95" w:rsidRDefault="00FC7D95" w:rsidP="00FC7D95">
            <w:pPr>
              <w:tabs>
                <w:tab w:val="left" w:pos="1560"/>
              </w:tabs>
              <w:spacing w:line="240" w:lineRule="auto"/>
              <w:rPr>
                <w:rFonts w:asciiTheme="minorHAnsi" w:hAnsiTheme="minorHAnsi" w:cstheme="minorHAnsi"/>
                <w:noProof/>
              </w:rPr>
            </w:pPr>
            <w:r w:rsidRPr="00FC7D95">
              <w:rPr>
                <w:rFonts w:asciiTheme="minorHAnsi" w:hAnsiTheme="minorHAnsi" w:cstheme="minorHAnsi"/>
                <w:noProof/>
                <w:color w:val="000000" w:themeColor="text1"/>
              </w:rPr>
              <w:t>Opiekunowie prawni osob ubezwłasnowolnionych całkowicie i kuratorzy osób ubezwł</w:t>
            </w:r>
            <w:r w:rsidRPr="00FC7D95">
              <w:rPr>
                <w:rFonts w:asciiTheme="minorHAnsi" w:hAnsiTheme="minorHAnsi" w:cstheme="minorHAnsi"/>
                <w:noProof/>
                <w:color w:val="000000" w:themeColor="text1"/>
              </w:rPr>
              <w:t>a</w:t>
            </w:r>
            <w:r w:rsidRPr="00FC7D95">
              <w:rPr>
                <w:rFonts w:asciiTheme="minorHAnsi" w:hAnsiTheme="minorHAnsi" w:cstheme="minorHAnsi"/>
                <w:noProof/>
                <w:color w:val="000000" w:themeColor="text1"/>
              </w:rPr>
              <w:t>snowolnionych częściow</w:t>
            </w:r>
          </w:p>
        </w:tc>
        <w:tc>
          <w:tcPr>
            <w:tcW w:w="897" w:type="pct"/>
            <w:gridSpan w:val="3"/>
            <w:shd w:val="clear" w:color="auto" w:fill="auto"/>
          </w:tcPr>
          <w:p w14:paraId="501B320F" w14:textId="219F6FC7" w:rsidR="00FC7D95" w:rsidRPr="00FC7D95" w:rsidRDefault="00FC7D95" w:rsidP="00FC7D95">
            <w:pPr>
              <w:spacing w:line="240" w:lineRule="auto"/>
              <w:rPr>
                <w:rFonts w:asciiTheme="minorHAnsi" w:hAnsiTheme="minorHAnsi" w:cstheme="minorHAnsi"/>
                <w:color w:val="000000"/>
                <w:spacing w:val="-2"/>
                <w:highlight w:val="yellow"/>
              </w:rPr>
            </w:pPr>
            <w:r w:rsidRPr="00FC7D95">
              <w:rPr>
                <w:rFonts w:asciiTheme="minorHAnsi" w:hAnsiTheme="minorHAnsi" w:cstheme="minorHAnsi"/>
                <w:color w:val="000000"/>
                <w:spacing w:val="-2"/>
              </w:rPr>
              <w:t>100000</w:t>
            </w:r>
          </w:p>
        </w:tc>
        <w:tc>
          <w:tcPr>
            <w:tcW w:w="701" w:type="pct"/>
            <w:gridSpan w:val="4"/>
            <w:shd w:val="clear" w:color="auto" w:fill="auto"/>
          </w:tcPr>
          <w:p w14:paraId="3E5C4516" w14:textId="3A6CBD01" w:rsidR="00FC7D95" w:rsidRPr="00FC7D95" w:rsidRDefault="002F62F6" w:rsidP="00FC7D95">
            <w:pPr>
              <w:spacing w:line="240" w:lineRule="auto"/>
              <w:rPr>
                <w:rFonts w:asciiTheme="minorHAnsi" w:hAnsiTheme="minorHAnsi" w:cstheme="minorHAnsi"/>
                <w:color w:val="000000"/>
                <w:spacing w:val="-2"/>
                <w:highlight w:val="yellow"/>
              </w:rPr>
            </w:pPr>
            <w:r w:rsidRPr="002F62F6">
              <w:rPr>
                <w:rFonts w:asciiTheme="minorHAnsi" w:hAnsiTheme="minorHAnsi" w:cstheme="minorHAnsi"/>
                <w:color w:val="000000"/>
                <w:spacing w:val="-2"/>
              </w:rPr>
              <w:t>Liczba ustanowiony</w:t>
            </w:r>
            <w:r>
              <w:rPr>
                <w:rFonts w:asciiTheme="minorHAnsi" w:hAnsiTheme="minorHAnsi" w:cstheme="minorHAnsi"/>
                <w:color w:val="000000"/>
                <w:spacing w:val="-2"/>
              </w:rPr>
              <w:t>ch opiekunów prawnych</w:t>
            </w:r>
            <w:r w:rsidR="00BB773C">
              <w:rPr>
                <w:rFonts w:asciiTheme="minorHAnsi" w:hAnsiTheme="minorHAnsi" w:cstheme="minorHAnsi"/>
                <w:color w:val="000000"/>
                <w:spacing w:val="-2"/>
              </w:rPr>
              <w:t xml:space="preserve"> i kuratorów </w:t>
            </w:r>
          </w:p>
        </w:tc>
        <w:tc>
          <w:tcPr>
            <w:tcW w:w="2558" w:type="pct"/>
            <w:gridSpan w:val="11"/>
            <w:shd w:val="clear" w:color="auto" w:fill="auto"/>
          </w:tcPr>
          <w:p w14:paraId="529AB13D" w14:textId="77777777" w:rsidR="00FC7D95" w:rsidRDefault="00BB773C" w:rsidP="00FC7D95">
            <w:pPr>
              <w:spacing w:line="240" w:lineRule="auto"/>
              <w:rPr>
                <w:rFonts w:asciiTheme="minorHAnsi" w:hAnsiTheme="minorHAnsi" w:cstheme="minorHAnsi"/>
                <w:color w:val="000000"/>
                <w:spacing w:val="-2"/>
              </w:rPr>
            </w:pPr>
            <w:r w:rsidRPr="00BB773C">
              <w:rPr>
                <w:rFonts w:asciiTheme="minorHAnsi" w:hAnsiTheme="minorHAnsi" w:cstheme="minorHAnsi"/>
                <w:color w:val="000000"/>
                <w:spacing w:val="-2"/>
              </w:rPr>
              <w:t>Stosowanie przepisów w zakresie wniosków o uchylenie ubezwłasnowolnienia, ustanowienia asysty prawnej, pełnomocnika wspierającego</w:t>
            </w:r>
            <w:r>
              <w:rPr>
                <w:rFonts w:asciiTheme="minorHAnsi" w:hAnsiTheme="minorHAnsi" w:cstheme="minorHAnsi"/>
                <w:color w:val="000000"/>
                <w:spacing w:val="-2"/>
              </w:rPr>
              <w:t>;</w:t>
            </w:r>
          </w:p>
          <w:p w14:paraId="74D33C73" w14:textId="16669A12" w:rsidR="00BB773C" w:rsidRPr="00FC7D95" w:rsidRDefault="00BB773C" w:rsidP="00FC7D95">
            <w:pPr>
              <w:spacing w:line="240" w:lineRule="auto"/>
              <w:rPr>
                <w:rFonts w:asciiTheme="minorHAnsi" w:hAnsiTheme="minorHAnsi" w:cstheme="minorHAnsi"/>
                <w:color w:val="000000"/>
                <w:spacing w:val="-2"/>
                <w:highlight w:val="yellow"/>
              </w:rPr>
            </w:pPr>
          </w:p>
        </w:tc>
      </w:tr>
      <w:tr w:rsidR="00FC7D95" w:rsidRPr="008B4FE6" w14:paraId="61AFE80B" w14:textId="77777777" w:rsidTr="00FC7D95">
        <w:trPr>
          <w:trHeight w:val="142"/>
        </w:trPr>
        <w:tc>
          <w:tcPr>
            <w:tcW w:w="844" w:type="pct"/>
            <w:gridSpan w:val="2"/>
            <w:shd w:val="clear" w:color="auto" w:fill="auto"/>
          </w:tcPr>
          <w:p w14:paraId="7D5F8F03" w14:textId="2EA42CC6" w:rsidR="00FC7D95" w:rsidRPr="00FC7D95" w:rsidRDefault="00FC7D95" w:rsidP="00FC7D95">
            <w:pPr>
              <w:tabs>
                <w:tab w:val="left" w:pos="1560"/>
              </w:tabs>
              <w:spacing w:line="240" w:lineRule="auto"/>
              <w:rPr>
                <w:rFonts w:asciiTheme="minorHAnsi" w:hAnsiTheme="minorHAnsi" w:cstheme="minorHAnsi"/>
                <w:noProof/>
              </w:rPr>
            </w:pPr>
            <w:r w:rsidRPr="00FC7D95">
              <w:rPr>
                <w:rFonts w:asciiTheme="minorHAnsi" w:hAnsiTheme="minorHAnsi" w:cstheme="minorHAnsi"/>
                <w:noProof/>
                <w:color w:val="000000" w:themeColor="text1"/>
              </w:rPr>
              <w:t>Krajowa Rada Notarialna</w:t>
            </w:r>
          </w:p>
        </w:tc>
        <w:tc>
          <w:tcPr>
            <w:tcW w:w="897" w:type="pct"/>
            <w:gridSpan w:val="3"/>
            <w:shd w:val="clear" w:color="auto" w:fill="auto"/>
          </w:tcPr>
          <w:p w14:paraId="55FE6F22" w14:textId="76AD5CF2" w:rsidR="00FC7D95" w:rsidRPr="00FC7D95" w:rsidRDefault="00FC7D95" w:rsidP="00FC7D95">
            <w:pPr>
              <w:spacing w:line="240" w:lineRule="auto"/>
              <w:rPr>
                <w:rFonts w:asciiTheme="minorHAnsi" w:hAnsiTheme="minorHAnsi" w:cstheme="minorHAnsi"/>
                <w:color w:val="000000"/>
                <w:spacing w:val="-2"/>
                <w:highlight w:val="yellow"/>
              </w:rPr>
            </w:pPr>
            <w:r w:rsidRPr="00FC7D95">
              <w:rPr>
                <w:rFonts w:asciiTheme="minorHAnsi" w:hAnsiTheme="minorHAnsi" w:cstheme="minorHAnsi"/>
                <w:color w:val="000000"/>
                <w:spacing w:val="-2"/>
              </w:rPr>
              <w:t>1</w:t>
            </w:r>
          </w:p>
        </w:tc>
        <w:tc>
          <w:tcPr>
            <w:tcW w:w="701" w:type="pct"/>
            <w:gridSpan w:val="4"/>
            <w:shd w:val="clear" w:color="auto" w:fill="auto"/>
          </w:tcPr>
          <w:p w14:paraId="1CFA5946" w14:textId="77777777" w:rsidR="00FC7D95" w:rsidRPr="00FC7D95" w:rsidRDefault="00FC7D95" w:rsidP="00FC7D95">
            <w:pPr>
              <w:spacing w:line="240" w:lineRule="auto"/>
              <w:rPr>
                <w:rFonts w:asciiTheme="minorHAnsi" w:hAnsiTheme="minorHAnsi" w:cstheme="minorHAnsi"/>
                <w:color w:val="000000"/>
                <w:spacing w:val="-2"/>
                <w:highlight w:val="yellow"/>
              </w:rPr>
            </w:pPr>
          </w:p>
        </w:tc>
        <w:tc>
          <w:tcPr>
            <w:tcW w:w="2558" w:type="pct"/>
            <w:gridSpan w:val="11"/>
            <w:shd w:val="clear" w:color="auto" w:fill="auto"/>
          </w:tcPr>
          <w:p w14:paraId="4B3F97D0" w14:textId="176FBB1B" w:rsidR="00FC7D95" w:rsidRPr="00FC7D95" w:rsidRDefault="002F62F6" w:rsidP="00FC7D95">
            <w:pPr>
              <w:spacing w:line="240" w:lineRule="auto"/>
              <w:rPr>
                <w:rFonts w:asciiTheme="minorHAnsi" w:hAnsiTheme="minorHAnsi" w:cstheme="minorHAnsi"/>
                <w:color w:val="000000"/>
                <w:spacing w:val="-2"/>
                <w:highlight w:val="yellow"/>
              </w:rPr>
            </w:pPr>
            <w:r w:rsidRPr="00FC7D95">
              <w:rPr>
                <w:rFonts w:asciiTheme="minorHAnsi" w:hAnsiTheme="minorHAnsi" w:cstheme="minorHAnsi"/>
                <w:color w:val="000000"/>
                <w:spacing w:val="-2"/>
              </w:rPr>
              <w:t xml:space="preserve">Stosowanie przepisów w zakresie </w:t>
            </w:r>
            <w:r>
              <w:rPr>
                <w:rFonts w:asciiTheme="minorHAnsi" w:hAnsiTheme="minorHAnsi" w:cstheme="minorHAnsi"/>
                <w:color w:val="000000"/>
                <w:spacing w:val="-2"/>
              </w:rPr>
              <w:t xml:space="preserve">prowadzenia Rejestru </w:t>
            </w:r>
            <w:r w:rsidRPr="00FC7D95">
              <w:rPr>
                <w:rFonts w:asciiTheme="minorHAnsi" w:hAnsiTheme="minorHAnsi" w:cstheme="minorHAnsi"/>
                <w:color w:val="000000"/>
                <w:spacing w:val="-2"/>
              </w:rPr>
              <w:t>pełnomocników na przyszłość</w:t>
            </w:r>
          </w:p>
        </w:tc>
      </w:tr>
      <w:tr w:rsidR="00FC7D95" w:rsidRPr="008B4FE6" w14:paraId="762D20A6" w14:textId="77777777" w:rsidTr="00FC7D95">
        <w:trPr>
          <w:trHeight w:val="142"/>
        </w:trPr>
        <w:tc>
          <w:tcPr>
            <w:tcW w:w="844" w:type="pct"/>
            <w:gridSpan w:val="2"/>
            <w:shd w:val="clear" w:color="auto" w:fill="auto"/>
          </w:tcPr>
          <w:p w14:paraId="5BA8168A" w14:textId="635B2504" w:rsidR="00FC7D95" w:rsidRPr="00FC7D95" w:rsidRDefault="00FC7D95" w:rsidP="00FC7D95">
            <w:pPr>
              <w:tabs>
                <w:tab w:val="left" w:pos="1560"/>
              </w:tabs>
              <w:spacing w:line="240" w:lineRule="auto"/>
              <w:rPr>
                <w:rFonts w:asciiTheme="minorHAnsi" w:hAnsiTheme="minorHAnsi" w:cstheme="minorHAnsi"/>
                <w:noProof/>
                <w:color w:val="000000" w:themeColor="text1"/>
              </w:rPr>
            </w:pPr>
            <w:r w:rsidRPr="00FC7D95">
              <w:rPr>
                <w:rFonts w:asciiTheme="minorHAnsi" w:hAnsiTheme="minorHAnsi" w:cstheme="minorHAnsi"/>
                <w:noProof/>
                <w:color w:val="000000" w:themeColor="text1"/>
              </w:rPr>
              <w:t>Notariusze</w:t>
            </w:r>
          </w:p>
        </w:tc>
        <w:tc>
          <w:tcPr>
            <w:tcW w:w="897" w:type="pct"/>
            <w:gridSpan w:val="3"/>
            <w:shd w:val="clear" w:color="auto" w:fill="auto"/>
          </w:tcPr>
          <w:p w14:paraId="5A7585AC" w14:textId="52DDC74C" w:rsidR="00FC7D95" w:rsidRPr="00FC7D95" w:rsidRDefault="00FC7D95" w:rsidP="00FC7D95">
            <w:pPr>
              <w:spacing w:line="240" w:lineRule="auto"/>
              <w:rPr>
                <w:rFonts w:asciiTheme="minorHAnsi" w:hAnsiTheme="minorHAnsi" w:cstheme="minorHAnsi"/>
                <w:color w:val="000000"/>
                <w:spacing w:val="-2"/>
              </w:rPr>
            </w:pPr>
            <w:r w:rsidRPr="00FC7D95">
              <w:rPr>
                <w:rFonts w:asciiTheme="minorHAnsi" w:hAnsiTheme="minorHAnsi" w:cstheme="minorHAnsi"/>
                <w:color w:val="000000"/>
                <w:spacing w:val="-2"/>
              </w:rPr>
              <w:t>4000</w:t>
            </w:r>
          </w:p>
        </w:tc>
        <w:tc>
          <w:tcPr>
            <w:tcW w:w="701" w:type="pct"/>
            <w:gridSpan w:val="4"/>
            <w:shd w:val="clear" w:color="auto" w:fill="auto"/>
          </w:tcPr>
          <w:p w14:paraId="6995F3A5" w14:textId="4328CFC0" w:rsidR="00FC7D95" w:rsidRPr="00FC7D95" w:rsidRDefault="00FC7D95" w:rsidP="00FC7D95">
            <w:pPr>
              <w:spacing w:line="240" w:lineRule="auto"/>
              <w:rPr>
                <w:rFonts w:asciiTheme="minorHAnsi" w:hAnsiTheme="minorHAnsi" w:cstheme="minorHAnsi"/>
                <w:color w:val="000000"/>
                <w:spacing w:val="-2"/>
              </w:rPr>
            </w:pPr>
            <w:r w:rsidRPr="00FC7D95">
              <w:rPr>
                <w:rFonts w:asciiTheme="minorHAnsi" w:hAnsiTheme="minorHAnsi" w:cstheme="minorHAnsi"/>
                <w:color w:val="000000"/>
                <w:spacing w:val="-2"/>
              </w:rPr>
              <w:t>Krajowa Rada Notari</w:t>
            </w:r>
            <w:r w:rsidR="002F62F6">
              <w:rPr>
                <w:rFonts w:asciiTheme="minorHAnsi" w:hAnsiTheme="minorHAnsi" w:cstheme="minorHAnsi"/>
                <w:color w:val="000000"/>
                <w:spacing w:val="-2"/>
              </w:rPr>
              <w:t>alna</w:t>
            </w:r>
          </w:p>
        </w:tc>
        <w:tc>
          <w:tcPr>
            <w:tcW w:w="2558" w:type="pct"/>
            <w:gridSpan w:val="11"/>
            <w:shd w:val="clear" w:color="auto" w:fill="auto"/>
          </w:tcPr>
          <w:p w14:paraId="38B0EAD1" w14:textId="68A79FAD" w:rsidR="00FC7D95" w:rsidRPr="00FC7D95" w:rsidRDefault="00FC7D95" w:rsidP="00FC7D95">
            <w:pPr>
              <w:spacing w:line="240" w:lineRule="auto"/>
              <w:rPr>
                <w:rFonts w:asciiTheme="minorHAnsi" w:hAnsiTheme="minorHAnsi" w:cstheme="minorHAnsi"/>
                <w:color w:val="000000"/>
                <w:spacing w:val="-2"/>
              </w:rPr>
            </w:pPr>
            <w:r w:rsidRPr="00FC7D95">
              <w:rPr>
                <w:rFonts w:asciiTheme="minorHAnsi" w:hAnsiTheme="minorHAnsi" w:cstheme="minorHAnsi"/>
                <w:color w:val="000000"/>
                <w:spacing w:val="-2"/>
              </w:rPr>
              <w:t>Stosowanie przepisów w zakresie powoływania pełnomocników na przyszłość</w:t>
            </w:r>
          </w:p>
        </w:tc>
      </w:tr>
      <w:tr w:rsidR="00FC7D95" w:rsidRPr="008B4FE6" w14:paraId="53A33C56" w14:textId="77777777" w:rsidTr="00FC7D95">
        <w:trPr>
          <w:trHeight w:val="142"/>
        </w:trPr>
        <w:tc>
          <w:tcPr>
            <w:tcW w:w="844" w:type="pct"/>
            <w:gridSpan w:val="2"/>
            <w:shd w:val="clear" w:color="auto" w:fill="auto"/>
          </w:tcPr>
          <w:p w14:paraId="4D60CBA8" w14:textId="176CAA41" w:rsidR="00FC7D95" w:rsidRPr="00FC7D95" w:rsidRDefault="00FC7D95" w:rsidP="00FC7D95">
            <w:pPr>
              <w:tabs>
                <w:tab w:val="left" w:pos="1560"/>
              </w:tabs>
              <w:spacing w:line="240" w:lineRule="auto"/>
              <w:rPr>
                <w:rFonts w:asciiTheme="minorHAnsi" w:hAnsiTheme="minorHAnsi" w:cstheme="minorHAnsi"/>
                <w:noProof/>
                <w:color w:val="000000" w:themeColor="text1"/>
              </w:rPr>
            </w:pPr>
            <w:r w:rsidRPr="00FC7D95">
              <w:rPr>
                <w:rFonts w:asciiTheme="minorHAnsi" w:hAnsiTheme="minorHAnsi" w:cstheme="minorHAnsi"/>
                <w:noProof/>
                <w:color w:val="000000" w:themeColor="text1"/>
              </w:rPr>
              <w:t>Sądy Rejonowe</w:t>
            </w:r>
          </w:p>
        </w:tc>
        <w:tc>
          <w:tcPr>
            <w:tcW w:w="897" w:type="pct"/>
            <w:gridSpan w:val="3"/>
            <w:shd w:val="clear" w:color="auto" w:fill="auto"/>
          </w:tcPr>
          <w:p w14:paraId="1571B9AA" w14:textId="717CF0C8" w:rsidR="00FC7D95" w:rsidRPr="00FC7D95" w:rsidRDefault="00FC7D95" w:rsidP="00FC7D95">
            <w:pPr>
              <w:spacing w:line="240" w:lineRule="auto"/>
              <w:rPr>
                <w:rFonts w:asciiTheme="minorHAnsi" w:hAnsiTheme="minorHAnsi" w:cstheme="minorHAnsi"/>
                <w:color w:val="000000"/>
                <w:spacing w:val="-2"/>
              </w:rPr>
            </w:pPr>
            <w:r w:rsidRPr="00FC7D95">
              <w:rPr>
                <w:rFonts w:asciiTheme="minorHAnsi" w:hAnsiTheme="minorHAnsi" w:cstheme="minorHAnsi"/>
                <w:color w:val="000000"/>
                <w:spacing w:val="-2"/>
              </w:rPr>
              <w:t>318- liczba jednostek</w:t>
            </w:r>
          </w:p>
        </w:tc>
        <w:tc>
          <w:tcPr>
            <w:tcW w:w="701" w:type="pct"/>
            <w:gridSpan w:val="4"/>
            <w:shd w:val="clear" w:color="auto" w:fill="auto"/>
          </w:tcPr>
          <w:p w14:paraId="46EC59C4" w14:textId="534BC8A1" w:rsidR="00FC7D95" w:rsidRPr="00FC7D95" w:rsidRDefault="00FC7D95" w:rsidP="00FC7D95">
            <w:pPr>
              <w:spacing w:line="240" w:lineRule="auto"/>
              <w:rPr>
                <w:rFonts w:asciiTheme="minorHAnsi" w:hAnsiTheme="minorHAnsi" w:cstheme="minorHAnsi"/>
                <w:color w:val="000000"/>
                <w:spacing w:val="-2"/>
                <w:highlight w:val="yellow"/>
              </w:rPr>
            </w:pPr>
            <w:r w:rsidRPr="00FC7D95">
              <w:rPr>
                <w:rFonts w:asciiTheme="minorHAnsi" w:hAnsiTheme="minorHAnsi" w:cstheme="minorHAnsi"/>
                <w:color w:val="000000" w:themeColor="text1"/>
              </w:rPr>
              <w:t>Ministerstwo Sprawiedliwości</w:t>
            </w:r>
          </w:p>
        </w:tc>
        <w:tc>
          <w:tcPr>
            <w:tcW w:w="2558" w:type="pct"/>
            <w:gridSpan w:val="11"/>
            <w:shd w:val="clear" w:color="auto" w:fill="auto"/>
          </w:tcPr>
          <w:p w14:paraId="56B71203" w14:textId="20443D9C" w:rsidR="00FC7D95" w:rsidRPr="00FC7D95" w:rsidRDefault="00FC7D95" w:rsidP="00FC7D95">
            <w:pPr>
              <w:spacing w:line="240" w:lineRule="auto"/>
              <w:jc w:val="both"/>
              <w:rPr>
                <w:rFonts w:asciiTheme="minorHAnsi" w:hAnsiTheme="minorHAnsi" w:cstheme="minorHAnsi"/>
                <w:color w:val="000000" w:themeColor="text1"/>
              </w:rPr>
            </w:pPr>
            <w:r w:rsidRPr="00FC7D95">
              <w:rPr>
                <w:rFonts w:asciiTheme="minorHAnsi" w:hAnsiTheme="minorHAnsi" w:cstheme="minorHAnsi"/>
                <w:color w:val="000000" w:themeColor="text1"/>
              </w:rPr>
              <w:t>S</w:t>
            </w:r>
            <w:r w:rsidRPr="00FC7D95">
              <w:rPr>
                <w:rFonts w:asciiTheme="minorHAnsi" w:hAnsiTheme="minorHAnsi" w:cstheme="minorHAnsi"/>
                <w:color w:val="000000" w:themeColor="text1"/>
              </w:rPr>
              <w:t>tosowanie przepisów ustawy w zakresie ustanowienia pełnomocnictwa wspierającego i asysty prawnej</w:t>
            </w:r>
          </w:p>
          <w:p w14:paraId="1570CD55" w14:textId="77777777" w:rsidR="00FC7D95" w:rsidRPr="00FC7D95" w:rsidRDefault="00FC7D95" w:rsidP="00FC7D95">
            <w:pPr>
              <w:spacing w:line="240" w:lineRule="auto"/>
              <w:jc w:val="both"/>
              <w:rPr>
                <w:rFonts w:asciiTheme="minorHAnsi" w:hAnsiTheme="minorHAnsi" w:cstheme="minorHAnsi"/>
                <w:color w:val="000000"/>
                <w:spacing w:val="-2"/>
              </w:rPr>
            </w:pPr>
          </w:p>
          <w:p w14:paraId="743C9814" w14:textId="77777777" w:rsidR="00FC7D95" w:rsidRPr="00FC7D95" w:rsidRDefault="00FC7D95" w:rsidP="00FC7D95">
            <w:pPr>
              <w:spacing w:line="240" w:lineRule="auto"/>
              <w:rPr>
                <w:rFonts w:asciiTheme="minorHAnsi" w:hAnsiTheme="minorHAnsi" w:cstheme="minorHAnsi"/>
                <w:color w:val="000000"/>
                <w:spacing w:val="-2"/>
                <w:highlight w:val="yellow"/>
              </w:rPr>
            </w:pPr>
          </w:p>
        </w:tc>
      </w:tr>
      <w:tr w:rsidR="00FC7D95" w:rsidRPr="008B4FE6" w14:paraId="6312586F" w14:textId="77777777" w:rsidTr="00FC7D95">
        <w:trPr>
          <w:trHeight w:val="142"/>
        </w:trPr>
        <w:tc>
          <w:tcPr>
            <w:tcW w:w="844" w:type="pct"/>
            <w:gridSpan w:val="2"/>
            <w:shd w:val="clear" w:color="auto" w:fill="auto"/>
          </w:tcPr>
          <w:p w14:paraId="08FE9691" w14:textId="67214AE0" w:rsidR="00FC7D95" w:rsidRPr="00FC7D95" w:rsidRDefault="00FC7D95" w:rsidP="00FC7D95">
            <w:pPr>
              <w:tabs>
                <w:tab w:val="left" w:pos="1560"/>
              </w:tabs>
              <w:spacing w:line="240" w:lineRule="auto"/>
              <w:rPr>
                <w:rFonts w:asciiTheme="minorHAnsi" w:hAnsiTheme="minorHAnsi" w:cstheme="minorHAnsi"/>
                <w:noProof/>
                <w:color w:val="000000" w:themeColor="text1"/>
              </w:rPr>
            </w:pPr>
            <w:r w:rsidRPr="00FC7D95">
              <w:rPr>
                <w:rFonts w:asciiTheme="minorHAnsi" w:hAnsiTheme="minorHAnsi" w:cstheme="minorHAnsi"/>
                <w:noProof/>
                <w:color w:val="000000" w:themeColor="text1"/>
              </w:rPr>
              <w:t>Sądy Okręgowe</w:t>
            </w:r>
          </w:p>
        </w:tc>
        <w:tc>
          <w:tcPr>
            <w:tcW w:w="897" w:type="pct"/>
            <w:gridSpan w:val="3"/>
            <w:shd w:val="clear" w:color="auto" w:fill="auto"/>
          </w:tcPr>
          <w:p w14:paraId="29E2E350" w14:textId="3BD43BC9" w:rsidR="00FC7D95" w:rsidRPr="00FC7D95" w:rsidRDefault="00FC7D95" w:rsidP="00FC7D95">
            <w:pPr>
              <w:spacing w:line="240" w:lineRule="auto"/>
              <w:rPr>
                <w:rFonts w:asciiTheme="minorHAnsi" w:hAnsiTheme="minorHAnsi" w:cstheme="minorHAnsi"/>
                <w:color w:val="000000"/>
                <w:spacing w:val="-2"/>
              </w:rPr>
            </w:pPr>
            <w:r w:rsidRPr="00FC7D95">
              <w:rPr>
                <w:rFonts w:asciiTheme="minorHAnsi" w:hAnsiTheme="minorHAnsi" w:cstheme="minorHAnsi"/>
                <w:color w:val="000000"/>
                <w:spacing w:val="-2"/>
              </w:rPr>
              <w:t>48 – liczba jednostek</w:t>
            </w:r>
          </w:p>
        </w:tc>
        <w:tc>
          <w:tcPr>
            <w:tcW w:w="701" w:type="pct"/>
            <w:gridSpan w:val="4"/>
            <w:shd w:val="clear" w:color="auto" w:fill="auto"/>
          </w:tcPr>
          <w:p w14:paraId="0037351B" w14:textId="51C036DE" w:rsidR="00FC7D95" w:rsidRPr="00FC7D95" w:rsidRDefault="00FC7D95" w:rsidP="00FC7D95">
            <w:pPr>
              <w:spacing w:line="240" w:lineRule="auto"/>
              <w:rPr>
                <w:rFonts w:asciiTheme="minorHAnsi" w:hAnsiTheme="minorHAnsi" w:cstheme="minorHAnsi"/>
                <w:color w:val="000000"/>
                <w:spacing w:val="-2"/>
                <w:highlight w:val="yellow"/>
              </w:rPr>
            </w:pPr>
            <w:r w:rsidRPr="00FC7D95">
              <w:rPr>
                <w:rFonts w:asciiTheme="minorHAnsi" w:hAnsiTheme="minorHAnsi" w:cstheme="minorHAnsi"/>
                <w:color w:val="000000"/>
                <w:spacing w:val="-2"/>
              </w:rPr>
              <w:t>Ministerstwo Sprawiedliwości</w:t>
            </w:r>
          </w:p>
        </w:tc>
        <w:tc>
          <w:tcPr>
            <w:tcW w:w="2558" w:type="pct"/>
            <w:gridSpan w:val="11"/>
            <w:shd w:val="clear" w:color="auto" w:fill="auto"/>
          </w:tcPr>
          <w:p w14:paraId="73845C7E" w14:textId="0D3B528B" w:rsidR="00FC7D95" w:rsidRPr="00FC7D95" w:rsidRDefault="00FC7D95" w:rsidP="00FC7D95">
            <w:pPr>
              <w:spacing w:line="240" w:lineRule="auto"/>
              <w:jc w:val="both"/>
              <w:rPr>
                <w:rFonts w:asciiTheme="minorHAnsi" w:hAnsiTheme="minorHAnsi" w:cstheme="minorHAnsi"/>
                <w:color w:val="000000" w:themeColor="text1"/>
              </w:rPr>
            </w:pPr>
            <w:r w:rsidRPr="00FC7D95">
              <w:rPr>
                <w:rFonts w:asciiTheme="minorHAnsi" w:hAnsiTheme="minorHAnsi" w:cstheme="minorHAnsi"/>
                <w:color w:val="000000" w:themeColor="text1"/>
              </w:rPr>
              <w:t>S</w:t>
            </w:r>
            <w:r w:rsidRPr="00FC7D95">
              <w:rPr>
                <w:rFonts w:asciiTheme="minorHAnsi" w:hAnsiTheme="minorHAnsi" w:cstheme="minorHAnsi"/>
                <w:color w:val="000000" w:themeColor="text1"/>
              </w:rPr>
              <w:t>tosowanie przepisów ustawy w zakresie uchylenia ubezwłasnowolnienia</w:t>
            </w:r>
          </w:p>
          <w:p w14:paraId="60FCF365" w14:textId="77777777" w:rsidR="00FC7D95" w:rsidRPr="00FC7D95" w:rsidRDefault="00FC7D95" w:rsidP="00FC7D95">
            <w:pPr>
              <w:spacing w:line="240" w:lineRule="auto"/>
              <w:rPr>
                <w:rFonts w:asciiTheme="minorHAnsi" w:hAnsiTheme="minorHAnsi" w:cstheme="minorHAnsi"/>
                <w:color w:val="000000"/>
                <w:spacing w:val="-2"/>
                <w:highlight w:val="yellow"/>
              </w:rPr>
            </w:pPr>
          </w:p>
        </w:tc>
      </w:tr>
      <w:tr w:rsidR="00FC7D95" w:rsidRPr="008B4FE6" w14:paraId="241F0F68" w14:textId="77777777" w:rsidTr="003A573A">
        <w:trPr>
          <w:trHeight w:val="302"/>
        </w:trPr>
        <w:tc>
          <w:tcPr>
            <w:tcW w:w="5000" w:type="pct"/>
            <w:gridSpan w:val="20"/>
            <w:shd w:val="clear" w:color="auto" w:fill="99CCFF"/>
            <w:vAlign w:val="center"/>
          </w:tcPr>
          <w:p w14:paraId="1B446F2B" w14:textId="77777777" w:rsidR="00FC7D95" w:rsidRPr="00FC7D95" w:rsidRDefault="00FC7D95" w:rsidP="00FC7D95">
            <w:pPr>
              <w:numPr>
                <w:ilvl w:val="0"/>
                <w:numId w:val="4"/>
              </w:numPr>
              <w:spacing w:before="60" w:after="60" w:line="240" w:lineRule="auto"/>
              <w:ind w:left="318" w:hanging="284"/>
              <w:jc w:val="both"/>
              <w:rPr>
                <w:rFonts w:asciiTheme="minorHAnsi" w:hAnsiTheme="minorHAnsi" w:cstheme="minorHAnsi"/>
                <w:b/>
                <w:color w:val="000000"/>
              </w:rPr>
            </w:pPr>
            <w:r w:rsidRPr="00FC7D95">
              <w:rPr>
                <w:rFonts w:asciiTheme="minorHAnsi" w:hAnsiTheme="minorHAnsi" w:cstheme="minorHAnsi"/>
                <w:b/>
                <w:color w:val="000000"/>
              </w:rPr>
              <w:lastRenderedPageBreak/>
              <w:t>Informacje na temat zakresu, czasu trwania i podsumowanie wyników konsultacji</w:t>
            </w:r>
          </w:p>
        </w:tc>
      </w:tr>
      <w:tr w:rsidR="00FC7D95" w:rsidRPr="008B4FE6" w14:paraId="52E56223" w14:textId="77777777" w:rsidTr="003A573A">
        <w:trPr>
          <w:trHeight w:val="289"/>
        </w:trPr>
        <w:tc>
          <w:tcPr>
            <w:tcW w:w="5000" w:type="pct"/>
            <w:gridSpan w:val="20"/>
            <w:shd w:val="clear" w:color="auto" w:fill="FFFFFF" w:themeFill="background1"/>
          </w:tcPr>
          <w:p w14:paraId="12D5A5B0" w14:textId="77777777" w:rsidR="00FC7D95" w:rsidRPr="00FC7D95" w:rsidRDefault="00FC7D95" w:rsidP="00FC7D95">
            <w:pPr>
              <w:spacing w:line="240" w:lineRule="auto"/>
              <w:ind w:left="2" w:hanging="2"/>
              <w:jc w:val="both"/>
              <w:rPr>
                <w:rFonts w:asciiTheme="minorHAnsi" w:eastAsiaTheme="minorEastAsia" w:hAnsiTheme="minorHAnsi" w:cstheme="minorHAnsi"/>
                <w:color w:val="000000" w:themeColor="text1"/>
              </w:rPr>
            </w:pPr>
            <w:proofErr w:type="spellStart"/>
            <w:r w:rsidRPr="00FC7D95">
              <w:rPr>
                <w:rFonts w:asciiTheme="minorHAnsi" w:eastAsiaTheme="minorEastAsia" w:hAnsiTheme="minorHAnsi" w:cstheme="minorHAnsi"/>
                <w:color w:val="000000" w:themeColor="text1"/>
              </w:rPr>
              <w:t>Pre</w:t>
            </w:r>
            <w:proofErr w:type="spellEnd"/>
            <w:r w:rsidRPr="00FC7D95">
              <w:rPr>
                <w:rFonts w:asciiTheme="minorHAnsi" w:eastAsiaTheme="minorEastAsia" w:hAnsiTheme="minorHAnsi" w:cstheme="minorHAnsi"/>
                <w:color w:val="000000" w:themeColor="text1"/>
              </w:rPr>
              <w:t xml:space="preserve">-konsultacje proponowanych rozwiązań nie były przeprowadzane. Opracowanie projektu przepisów o korzystaniu ze zdolności do czynności prawnych było poprzedzone przeprowadzeniem pilotażu (testowaniem) w 6 województwach i stanowi realizację Instrumentu przygotowanego w ramach projektu: „Aktywni niepełnosprawni – narzędzia wsparcia samodzielności osób niepełnosprawnych” (numer projektu: POWR.02.06.00-00-0064/19), realizowanego w ramach Działania 2.6 Wysoka jakość polityki na rzecz włączenia społecznego i zawodowego osób niepełnosprawnych. Oś Priorytetowa II: Efektywne polityki publiczne dla rynku pracy, gospodarki i edukacji Programu Operacyjnego Wiedza Edukacja Rozwój 2014-2020. Najważniejszym celem projektu jest wypracowanie nowych lub modyfikacja istniejących form wsparcia osób z niepełnosprawnościami, zapewniających możliwość korzystania każdej osobie z niepełnosprawnością z wolności i praw człowieka na zasadzie równości z innymi. Rozwiązania wspierające w korzystaniu ze zdolności do czynności prawnych zostały pozytywne ocenione w Raporcie z ewaluacji i pilotażu instrumentu asysta prawna jako element systemu wsparcia korzystania ze </w:t>
            </w:r>
            <w:proofErr w:type="spellStart"/>
            <w:r w:rsidRPr="00FC7D95">
              <w:rPr>
                <w:rFonts w:asciiTheme="minorHAnsi" w:eastAsiaTheme="minorEastAsia" w:hAnsiTheme="minorHAnsi" w:cstheme="minorHAnsi"/>
                <w:color w:val="000000" w:themeColor="text1"/>
              </w:rPr>
              <w:t>zdolności</w:t>
            </w:r>
            <w:proofErr w:type="spellEnd"/>
            <w:r w:rsidRPr="00FC7D95">
              <w:rPr>
                <w:rFonts w:asciiTheme="minorHAnsi" w:eastAsiaTheme="minorEastAsia" w:hAnsiTheme="minorHAnsi" w:cstheme="minorHAnsi"/>
                <w:color w:val="000000" w:themeColor="text1"/>
              </w:rPr>
              <w:t xml:space="preserve"> do </w:t>
            </w:r>
            <w:proofErr w:type="spellStart"/>
            <w:r w:rsidRPr="00FC7D95">
              <w:rPr>
                <w:rFonts w:asciiTheme="minorHAnsi" w:eastAsiaTheme="minorEastAsia" w:hAnsiTheme="minorHAnsi" w:cstheme="minorHAnsi"/>
                <w:color w:val="000000" w:themeColor="text1"/>
              </w:rPr>
              <w:t>czynności</w:t>
            </w:r>
            <w:proofErr w:type="spellEnd"/>
            <w:r w:rsidRPr="00FC7D95">
              <w:rPr>
                <w:rFonts w:asciiTheme="minorHAnsi" w:eastAsiaTheme="minorEastAsia" w:hAnsiTheme="minorHAnsi" w:cstheme="minorHAnsi"/>
                <w:color w:val="000000" w:themeColor="text1"/>
              </w:rPr>
              <w:t xml:space="preserve"> prawnych (M. Kocejko, A. </w:t>
            </w:r>
            <w:proofErr w:type="spellStart"/>
            <w:r w:rsidRPr="00FC7D95">
              <w:rPr>
                <w:rFonts w:asciiTheme="minorHAnsi" w:eastAsiaTheme="minorEastAsia" w:hAnsiTheme="minorHAnsi" w:cstheme="minorHAnsi"/>
                <w:color w:val="000000" w:themeColor="text1"/>
              </w:rPr>
              <w:t>Greniuk</w:t>
            </w:r>
            <w:proofErr w:type="spellEnd"/>
            <w:r w:rsidRPr="00FC7D95">
              <w:rPr>
                <w:rFonts w:asciiTheme="minorHAnsi" w:eastAsiaTheme="minorEastAsia" w:hAnsiTheme="minorHAnsi" w:cstheme="minorHAnsi"/>
                <w:color w:val="000000" w:themeColor="text1"/>
              </w:rPr>
              <w:t xml:space="preserve"> 2023)</w:t>
            </w:r>
          </w:p>
          <w:p w14:paraId="29420577" w14:textId="77777777" w:rsidR="00FC7D95" w:rsidRPr="00FC7D95" w:rsidRDefault="00FC7D95" w:rsidP="00FC7D95">
            <w:pPr>
              <w:spacing w:line="240" w:lineRule="auto"/>
              <w:jc w:val="both"/>
              <w:rPr>
                <w:rFonts w:asciiTheme="minorHAnsi" w:eastAsiaTheme="minorEastAsia" w:hAnsiTheme="minorHAnsi" w:cstheme="minorHAnsi"/>
                <w:color w:val="000000" w:themeColor="text1"/>
              </w:rPr>
            </w:pPr>
            <w:r w:rsidRPr="00FC7D95">
              <w:rPr>
                <w:rFonts w:asciiTheme="minorHAnsi" w:eastAsiaTheme="minorEastAsia" w:hAnsiTheme="minorHAnsi" w:cstheme="minorHAnsi"/>
                <w:color w:val="000000" w:themeColor="text1"/>
              </w:rPr>
              <w:t>Projekt przepisów o korzystaniu ze zdolności do czynności prawnych zostanie w ramach konsultacji publicznych i opiniowania zostanie przesłany do konsultacji społecznych i opiniowania</w:t>
            </w:r>
          </w:p>
          <w:p w14:paraId="61829076" w14:textId="77777777" w:rsidR="00FC7D95" w:rsidRPr="00FC7D95" w:rsidRDefault="00FC7D95" w:rsidP="00FC7D95">
            <w:pPr>
              <w:spacing w:line="240" w:lineRule="auto"/>
              <w:jc w:val="both"/>
              <w:rPr>
                <w:rFonts w:asciiTheme="minorHAnsi" w:hAnsiTheme="minorHAnsi" w:cstheme="minorHAnsi"/>
                <w:color w:val="000000"/>
                <w:spacing w:val="-2"/>
              </w:rPr>
            </w:pPr>
          </w:p>
        </w:tc>
      </w:tr>
      <w:tr w:rsidR="00FC7D95" w:rsidRPr="008B4FE6" w14:paraId="0BBEAE9B" w14:textId="77777777" w:rsidTr="003A573A">
        <w:trPr>
          <w:trHeight w:val="363"/>
        </w:trPr>
        <w:tc>
          <w:tcPr>
            <w:tcW w:w="5000" w:type="pct"/>
            <w:gridSpan w:val="20"/>
            <w:shd w:val="clear" w:color="auto" w:fill="99CCFF"/>
            <w:vAlign w:val="center"/>
          </w:tcPr>
          <w:p w14:paraId="723B0CB8" w14:textId="77777777" w:rsidR="00FC7D95" w:rsidRPr="00FC7D95" w:rsidRDefault="00FC7D95" w:rsidP="00FC7D95">
            <w:pPr>
              <w:numPr>
                <w:ilvl w:val="0"/>
                <w:numId w:val="4"/>
              </w:numPr>
              <w:spacing w:before="60" w:after="60" w:line="240" w:lineRule="auto"/>
              <w:ind w:left="318" w:hanging="284"/>
              <w:jc w:val="both"/>
              <w:rPr>
                <w:rFonts w:asciiTheme="minorHAnsi" w:hAnsiTheme="minorHAnsi" w:cstheme="minorHAnsi"/>
                <w:b/>
                <w:color w:val="000000"/>
              </w:rPr>
            </w:pPr>
            <w:r w:rsidRPr="00FC7D95">
              <w:rPr>
                <w:rFonts w:asciiTheme="minorHAnsi" w:hAnsiTheme="minorHAnsi" w:cstheme="minorHAnsi"/>
                <w:b/>
                <w:color w:val="000000"/>
              </w:rPr>
              <w:t xml:space="preserve"> Wpływ na sektor finansów publicznych</w:t>
            </w:r>
          </w:p>
        </w:tc>
      </w:tr>
      <w:tr w:rsidR="00FC7D95" w:rsidRPr="0061764D" w14:paraId="1F0A4BE2" w14:textId="77777777" w:rsidTr="00FC7D95">
        <w:trPr>
          <w:trHeight w:val="142"/>
        </w:trPr>
        <w:tc>
          <w:tcPr>
            <w:tcW w:w="1148" w:type="pct"/>
            <w:gridSpan w:val="3"/>
            <w:vMerge w:val="restart"/>
            <w:shd w:val="clear" w:color="auto" w:fill="FFFFFF" w:themeFill="background1"/>
          </w:tcPr>
          <w:p w14:paraId="773023D5" w14:textId="77777777" w:rsidR="00FC7D95" w:rsidRPr="00FC7D95" w:rsidRDefault="00FC7D95" w:rsidP="00FC7D95">
            <w:pPr>
              <w:spacing w:before="40" w:after="40"/>
              <w:rPr>
                <w:rFonts w:asciiTheme="minorHAnsi" w:hAnsiTheme="minorHAnsi" w:cstheme="minorHAnsi"/>
                <w:i/>
                <w:color w:val="000000"/>
                <w:sz w:val="14"/>
                <w:szCs w:val="14"/>
              </w:rPr>
            </w:pPr>
            <w:r w:rsidRPr="00FC7D95">
              <w:rPr>
                <w:rFonts w:asciiTheme="minorHAnsi" w:hAnsiTheme="minorHAnsi" w:cstheme="minorHAnsi"/>
                <w:color w:val="000000"/>
                <w:sz w:val="14"/>
                <w:szCs w:val="14"/>
              </w:rPr>
              <w:t>(ceny stałe z …… r.)</w:t>
            </w:r>
          </w:p>
        </w:tc>
        <w:tc>
          <w:tcPr>
            <w:tcW w:w="3852" w:type="pct"/>
            <w:gridSpan w:val="17"/>
            <w:shd w:val="clear" w:color="auto" w:fill="FFFFFF" w:themeFill="background1"/>
          </w:tcPr>
          <w:p w14:paraId="37430DAD" w14:textId="77777777" w:rsidR="00FC7D95" w:rsidRPr="00FC7D95" w:rsidRDefault="00FC7D95" w:rsidP="00FC7D95">
            <w:pPr>
              <w:spacing w:before="40" w:after="40" w:line="240" w:lineRule="auto"/>
              <w:jc w:val="center"/>
              <w:rPr>
                <w:rFonts w:asciiTheme="minorHAnsi" w:hAnsiTheme="minorHAnsi" w:cstheme="minorHAnsi"/>
                <w:i/>
                <w:color w:val="000000"/>
                <w:spacing w:val="-2"/>
                <w:sz w:val="14"/>
                <w:szCs w:val="14"/>
              </w:rPr>
            </w:pPr>
            <w:r w:rsidRPr="00FC7D95">
              <w:rPr>
                <w:rFonts w:asciiTheme="minorHAnsi" w:hAnsiTheme="minorHAnsi" w:cstheme="minorHAnsi"/>
                <w:color w:val="000000"/>
                <w:sz w:val="14"/>
                <w:szCs w:val="14"/>
              </w:rPr>
              <w:t>Skutki w okresie 10 lat od wejścia w życie zmian [mln zł]</w:t>
            </w:r>
          </w:p>
        </w:tc>
      </w:tr>
      <w:tr w:rsidR="00FC7D95" w:rsidRPr="0061764D" w14:paraId="51FC9B47" w14:textId="77777777" w:rsidTr="00FC7D95">
        <w:trPr>
          <w:trHeight w:val="288"/>
        </w:trPr>
        <w:tc>
          <w:tcPr>
            <w:tcW w:w="1148" w:type="pct"/>
            <w:gridSpan w:val="3"/>
            <w:vMerge/>
          </w:tcPr>
          <w:p w14:paraId="2BA226A1" w14:textId="77777777" w:rsidR="00FC7D95" w:rsidRPr="00FC7D95" w:rsidRDefault="00FC7D95" w:rsidP="00FC7D95">
            <w:pPr>
              <w:spacing w:before="40" w:after="40" w:line="240" w:lineRule="auto"/>
              <w:rPr>
                <w:rFonts w:asciiTheme="minorHAnsi" w:hAnsiTheme="minorHAnsi" w:cstheme="minorHAnsi"/>
                <w:i/>
                <w:color w:val="000000"/>
                <w:sz w:val="14"/>
                <w:szCs w:val="14"/>
              </w:rPr>
            </w:pPr>
          </w:p>
        </w:tc>
        <w:tc>
          <w:tcPr>
            <w:tcW w:w="263" w:type="pct"/>
            <w:shd w:val="clear" w:color="auto" w:fill="FFFFFF" w:themeFill="background1"/>
          </w:tcPr>
          <w:p w14:paraId="4B584315" w14:textId="77777777" w:rsidR="00FC7D95" w:rsidRPr="00FC7D95" w:rsidRDefault="00FC7D95" w:rsidP="00FC7D95">
            <w:pPr>
              <w:spacing w:line="240" w:lineRule="auto"/>
              <w:jc w:val="center"/>
              <w:rPr>
                <w:rFonts w:asciiTheme="minorHAnsi" w:hAnsiTheme="minorHAnsi" w:cstheme="minorHAnsi"/>
                <w:color w:val="000000"/>
                <w:sz w:val="14"/>
                <w:szCs w:val="14"/>
              </w:rPr>
            </w:pPr>
            <w:r w:rsidRPr="00FC7D95">
              <w:rPr>
                <w:rFonts w:asciiTheme="minorHAnsi" w:hAnsiTheme="minorHAnsi" w:cstheme="minorHAnsi"/>
                <w:color w:val="000000"/>
                <w:sz w:val="14"/>
                <w:szCs w:val="14"/>
              </w:rPr>
              <w:t>0</w:t>
            </w:r>
          </w:p>
        </w:tc>
        <w:tc>
          <w:tcPr>
            <w:tcW w:w="330" w:type="pct"/>
            <w:shd w:val="clear" w:color="auto" w:fill="FFFFFF" w:themeFill="background1"/>
          </w:tcPr>
          <w:p w14:paraId="649841BE" w14:textId="77777777" w:rsidR="00FC7D95" w:rsidRPr="00FC7D95" w:rsidRDefault="00FC7D95" w:rsidP="00FC7D95">
            <w:pPr>
              <w:spacing w:line="240" w:lineRule="auto"/>
              <w:jc w:val="center"/>
              <w:rPr>
                <w:rFonts w:asciiTheme="minorHAnsi" w:hAnsiTheme="minorHAnsi" w:cstheme="minorHAnsi"/>
                <w:color w:val="000000"/>
                <w:sz w:val="14"/>
                <w:szCs w:val="14"/>
              </w:rPr>
            </w:pPr>
            <w:r w:rsidRPr="00FC7D95">
              <w:rPr>
                <w:rFonts w:asciiTheme="minorHAnsi" w:hAnsiTheme="minorHAnsi" w:cstheme="minorHAnsi"/>
                <w:color w:val="000000"/>
                <w:sz w:val="14"/>
                <w:szCs w:val="14"/>
              </w:rPr>
              <w:t>1</w:t>
            </w:r>
          </w:p>
        </w:tc>
        <w:tc>
          <w:tcPr>
            <w:tcW w:w="320" w:type="pct"/>
            <w:gridSpan w:val="2"/>
            <w:shd w:val="clear" w:color="auto" w:fill="FFFFFF" w:themeFill="background1"/>
          </w:tcPr>
          <w:p w14:paraId="18F999B5" w14:textId="77777777" w:rsidR="00FC7D95" w:rsidRPr="00FC7D95" w:rsidRDefault="00FC7D95" w:rsidP="00FC7D95">
            <w:pPr>
              <w:spacing w:line="240" w:lineRule="auto"/>
              <w:jc w:val="center"/>
              <w:rPr>
                <w:rFonts w:asciiTheme="minorHAnsi" w:hAnsiTheme="minorHAnsi" w:cstheme="minorHAnsi"/>
                <w:color w:val="000000"/>
                <w:sz w:val="14"/>
                <w:szCs w:val="14"/>
              </w:rPr>
            </w:pPr>
            <w:r w:rsidRPr="00FC7D95">
              <w:rPr>
                <w:rFonts w:asciiTheme="minorHAnsi" w:hAnsiTheme="minorHAnsi" w:cstheme="minorHAnsi"/>
                <w:color w:val="000000"/>
                <w:sz w:val="14"/>
                <w:szCs w:val="14"/>
              </w:rPr>
              <w:t>2</w:t>
            </w:r>
          </w:p>
        </w:tc>
        <w:tc>
          <w:tcPr>
            <w:tcW w:w="381" w:type="pct"/>
            <w:gridSpan w:val="2"/>
            <w:shd w:val="clear" w:color="auto" w:fill="FFFFFF" w:themeFill="background1"/>
          </w:tcPr>
          <w:p w14:paraId="5FCD5EC4" w14:textId="77777777" w:rsidR="00FC7D95" w:rsidRPr="00FC7D95" w:rsidRDefault="00FC7D95" w:rsidP="00FC7D95">
            <w:pPr>
              <w:spacing w:line="240" w:lineRule="auto"/>
              <w:jc w:val="center"/>
              <w:rPr>
                <w:rFonts w:asciiTheme="minorHAnsi" w:hAnsiTheme="minorHAnsi" w:cstheme="minorHAnsi"/>
                <w:color w:val="000000"/>
                <w:sz w:val="14"/>
                <w:szCs w:val="14"/>
              </w:rPr>
            </w:pPr>
            <w:r w:rsidRPr="00FC7D95">
              <w:rPr>
                <w:rFonts w:asciiTheme="minorHAnsi" w:hAnsiTheme="minorHAnsi" w:cstheme="minorHAnsi"/>
                <w:color w:val="000000"/>
                <w:sz w:val="14"/>
                <w:szCs w:val="14"/>
              </w:rPr>
              <w:t>3</w:t>
            </w:r>
          </w:p>
        </w:tc>
        <w:tc>
          <w:tcPr>
            <w:tcW w:w="287" w:type="pct"/>
            <w:gridSpan w:val="2"/>
            <w:shd w:val="clear" w:color="auto" w:fill="FFFFFF" w:themeFill="background1"/>
          </w:tcPr>
          <w:p w14:paraId="2598DEE6" w14:textId="77777777" w:rsidR="00FC7D95" w:rsidRPr="00FC7D95" w:rsidRDefault="00FC7D95" w:rsidP="00FC7D95">
            <w:pPr>
              <w:spacing w:line="240" w:lineRule="auto"/>
              <w:jc w:val="center"/>
              <w:rPr>
                <w:rFonts w:asciiTheme="minorHAnsi" w:hAnsiTheme="minorHAnsi" w:cstheme="minorHAnsi"/>
                <w:color w:val="000000"/>
                <w:sz w:val="14"/>
                <w:szCs w:val="14"/>
              </w:rPr>
            </w:pPr>
            <w:r w:rsidRPr="00FC7D95">
              <w:rPr>
                <w:rFonts w:asciiTheme="minorHAnsi" w:hAnsiTheme="minorHAnsi" w:cstheme="minorHAnsi"/>
                <w:color w:val="000000"/>
                <w:sz w:val="14"/>
                <w:szCs w:val="14"/>
              </w:rPr>
              <w:t>4</w:t>
            </w:r>
          </w:p>
        </w:tc>
        <w:tc>
          <w:tcPr>
            <w:tcW w:w="314" w:type="pct"/>
            <w:shd w:val="clear" w:color="auto" w:fill="FFFFFF" w:themeFill="background1"/>
          </w:tcPr>
          <w:p w14:paraId="78941E47" w14:textId="77777777" w:rsidR="00FC7D95" w:rsidRPr="00FC7D95" w:rsidRDefault="00FC7D95" w:rsidP="00FC7D95">
            <w:pPr>
              <w:spacing w:line="240" w:lineRule="auto"/>
              <w:jc w:val="center"/>
              <w:rPr>
                <w:rFonts w:asciiTheme="minorHAnsi" w:hAnsiTheme="minorHAnsi" w:cstheme="minorHAnsi"/>
                <w:color w:val="000000"/>
                <w:sz w:val="14"/>
                <w:szCs w:val="14"/>
              </w:rPr>
            </w:pPr>
            <w:r w:rsidRPr="00FC7D95">
              <w:rPr>
                <w:rFonts w:asciiTheme="minorHAnsi" w:hAnsiTheme="minorHAnsi" w:cstheme="minorHAnsi"/>
                <w:color w:val="000000"/>
                <w:sz w:val="14"/>
                <w:szCs w:val="14"/>
              </w:rPr>
              <w:t>5</w:t>
            </w:r>
          </w:p>
        </w:tc>
        <w:tc>
          <w:tcPr>
            <w:tcW w:w="298" w:type="pct"/>
            <w:shd w:val="clear" w:color="auto" w:fill="FFFFFF" w:themeFill="background1"/>
          </w:tcPr>
          <w:p w14:paraId="29B4EA11" w14:textId="77777777" w:rsidR="00FC7D95" w:rsidRPr="00FC7D95" w:rsidRDefault="00FC7D95" w:rsidP="00FC7D95">
            <w:pPr>
              <w:spacing w:line="240" w:lineRule="auto"/>
              <w:jc w:val="center"/>
              <w:rPr>
                <w:rFonts w:asciiTheme="minorHAnsi" w:hAnsiTheme="minorHAnsi" w:cstheme="minorHAnsi"/>
                <w:color w:val="000000"/>
                <w:sz w:val="14"/>
                <w:szCs w:val="14"/>
              </w:rPr>
            </w:pPr>
            <w:r w:rsidRPr="00FC7D95">
              <w:rPr>
                <w:rFonts w:asciiTheme="minorHAnsi" w:hAnsiTheme="minorHAnsi" w:cstheme="minorHAnsi"/>
                <w:color w:val="000000"/>
                <w:sz w:val="14"/>
                <w:szCs w:val="14"/>
              </w:rPr>
              <w:t>6</w:t>
            </w:r>
          </w:p>
        </w:tc>
        <w:tc>
          <w:tcPr>
            <w:tcW w:w="322" w:type="pct"/>
            <w:shd w:val="clear" w:color="auto" w:fill="FFFFFF" w:themeFill="background1"/>
          </w:tcPr>
          <w:p w14:paraId="75697EEC" w14:textId="77777777" w:rsidR="00FC7D95" w:rsidRPr="00FC7D95" w:rsidRDefault="00FC7D95" w:rsidP="00FC7D95">
            <w:pPr>
              <w:spacing w:line="240" w:lineRule="auto"/>
              <w:jc w:val="center"/>
              <w:rPr>
                <w:rFonts w:asciiTheme="minorHAnsi" w:hAnsiTheme="minorHAnsi" w:cstheme="minorHAnsi"/>
                <w:color w:val="000000"/>
                <w:sz w:val="14"/>
                <w:szCs w:val="14"/>
              </w:rPr>
            </w:pPr>
            <w:r w:rsidRPr="00FC7D95">
              <w:rPr>
                <w:rFonts w:asciiTheme="minorHAnsi" w:hAnsiTheme="minorHAnsi" w:cstheme="minorHAnsi"/>
                <w:color w:val="000000"/>
                <w:sz w:val="14"/>
                <w:szCs w:val="14"/>
              </w:rPr>
              <w:t>7</w:t>
            </w:r>
          </w:p>
        </w:tc>
        <w:tc>
          <w:tcPr>
            <w:tcW w:w="321" w:type="pct"/>
            <w:gridSpan w:val="2"/>
            <w:shd w:val="clear" w:color="auto" w:fill="FFFFFF" w:themeFill="background1"/>
          </w:tcPr>
          <w:p w14:paraId="44B0A208" w14:textId="77777777" w:rsidR="00FC7D95" w:rsidRPr="00FC7D95" w:rsidRDefault="00FC7D95" w:rsidP="00FC7D95">
            <w:pPr>
              <w:spacing w:line="240" w:lineRule="auto"/>
              <w:jc w:val="center"/>
              <w:rPr>
                <w:rFonts w:asciiTheme="minorHAnsi" w:hAnsiTheme="minorHAnsi" w:cstheme="minorHAnsi"/>
                <w:color w:val="000000"/>
                <w:sz w:val="14"/>
                <w:szCs w:val="14"/>
              </w:rPr>
            </w:pPr>
            <w:r w:rsidRPr="00FC7D95">
              <w:rPr>
                <w:rFonts w:asciiTheme="minorHAnsi" w:hAnsiTheme="minorHAnsi" w:cstheme="minorHAnsi"/>
                <w:color w:val="000000"/>
                <w:sz w:val="14"/>
                <w:szCs w:val="14"/>
              </w:rPr>
              <w:t>8</w:t>
            </w:r>
          </w:p>
        </w:tc>
        <w:tc>
          <w:tcPr>
            <w:tcW w:w="325" w:type="pct"/>
            <w:gridSpan w:val="2"/>
            <w:shd w:val="clear" w:color="auto" w:fill="FFFFFF" w:themeFill="background1"/>
          </w:tcPr>
          <w:p w14:paraId="2B2B7304" w14:textId="77777777" w:rsidR="00FC7D95" w:rsidRPr="00FC7D95" w:rsidRDefault="00FC7D95" w:rsidP="00FC7D95">
            <w:pPr>
              <w:spacing w:line="240" w:lineRule="auto"/>
              <w:jc w:val="center"/>
              <w:rPr>
                <w:rFonts w:asciiTheme="minorHAnsi" w:hAnsiTheme="minorHAnsi" w:cstheme="minorHAnsi"/>
                <w:color w:val="000000"/>
                <w:sz w:val="14"/>
                <w:szCs w:val="14"/>
              </w:rPr>
            </w:pPr>
            <w:r w:rsidRPr="00FC7D95">
              <w:rPr>
                <w:rFonts w:asciiTheme="minorHAnsi" w:hAnsiTheme="minorHAnsi" w:cstheme="minorHAnsi"/>
                <w:color w:val="000000"/>
                <w:sz w:val="14"/>
                <w:szCs w:val="14"/>
              </w:rPr>
              <w:t>9</w:t>
            </w:r>
          </w:p>
        </w:tc>
        <w:tc>
          <w:tcPr>
            <w:tcW w:w="320" w:type="pct"/>
            <w:shd w:val="clear" w:color="auto" w:fill="FFFFFF" w:themeFill="background1"/>
          </w:tcPr>
          <w:p w14:paraId="5D369756" w14:textId="77777777" w:rsidR="00FC7D95" w:rsidRPr="00FC7D95" w:rsidRDefault="00FC7D95" w:rsidP="00FC7D95">
            <w:pPr>
              <w:spacing w:line="240" w:lineRule="auto"/>
              <w:jc w:val="center"/>
              <w:rPr>
                <w:rFonts w:asciiTheme="minorHAnsi" w:hAnsiTheme="minorHAnsi" w:cstheme="minorHAnsi"/>
                <w:color w:val="000000"/>
                <w:sz w:val="14"/>
                <w:szCs w:val="14"/>
              </w:rPr>
            </w:pPr>
            <w:r w:rsidRPr="00FC7D95">
              <w:rPr>
                <w:rFonts w:asciiTheme="minorHAnsi" w:hAnsiTheme="minorHAnsi" w:cstheme="minorHAnsi"/>
                <w:color w:val="000000"/>
                <w:sz w:val="14"/>
                <w:szCs w:val="14"/>
              </w:rPr>
              <w:t>10</w:t>
            </w:r>
          </w:p>
        </w:tc>
        <w:tc>
          <w:tcPr>
            <w:tcW w:w="372" w:type="pct"/>
            <w:shd w:val="clear" w:color="auto" w:fill="FFFFFF" w:themeFill="background1"/>
          </w:tcPr>
          <w:p w14:paraId="2E2B42B2" w14:textId="77777777" w:rsidR="00FC7D95" w:rsidRPr="00FC7D95" w:rsidRDefault="00FC7D95" w:rsidP="00FC7D95">
            <w:pPr>
              <w:spacing w:before="40" w:after="40" w:line="240" w:lineRule="auto"/>
              <w:jc w:val="center"/>
              <w:rPr>
                <w:rFonts w:asciiTheme="minorHAnsi" w:hAnsiTheme="minorHAnsi" w:cstheme="minorHAnsi"/>
                <w:i/>
                <w:color w:val="000000"/>
                <w:spacing w:val="-2"/>
                <w:sz w:val="14"/>
                <w:szCs w:val="14"/>
              </w:rPr>
            </w:pPr>
            <w:r w:rsidRPr="00FC7D95">
              <w:rPr>
                <w:rFonts w:asciiTheme="minorHAnsi" w:hAnsiTheme="minorHAnsi" w:cstheme="minorHAnsi"/>
                <w:i/>
                <w:color w:val="000000"/>
                <w:spacing w:val="-2"/>
                <w:sz w:val="14"/>
                <w:szCs w:val="14"/>
              </w:rPr>
              <w:t>Łącznie (0-10)</w:t>
            </w:r>
          </w:p>
        </w:tc>
      </w:tr>
      <w:tr w:rsidR="00FC7D95" w:rsidRPr="0061764D" w14:paraId="7148EA15" w14:textId="77777777" w:rsidTr="00FC7D95">
        <w:trPr>
          <w:trHeight w:val="321"/>
        </w:trPr>
        <w:tc>
          <w:tcPr>
            <w:tcW w:w="1148" w:type="pct"/>
            <w:gridSpan w:val="3"/>
            <w:shd w:val="clear" w:color="auto" w:fill="FFFFFF" w:themeFill="background1"/>
            <w:vAlign w:val="center"/>
          </w:tcPr>
          <w:p w14:paraId="3231FC6C" w14:textId="77777777"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b/>
                <w:color w:val="000000"/>
                <w:sz w:val="14"/>
                <w:szCs w:val="14"/>
              </w:rPr>
              <w:t>Dochody ogółem</w:t>
            </w:r>
          </w:p>
        </w:tc>
        <w:tc>
          <w:tcPr>
            <w:tcW w:w="263" w:type="pct"/>
            <w:shd w:val="clear" w:color="auto" w:fill="FFFFFF" w:themeFill="background1"/>
          </w:tcPr>
          <w:p w14:paraId="17AD93B2" w14:textId="2CFC474F"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30" w:type="pct"/>
            <w:shd w:val="clear" w:color="auto" w:fill="FFFFFF" w:themeFill="background1"/>
          </w:tcPr>
          <w:p w14:paraId="0DE4B5B7" w14:textId="5624B826"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20" w:type="pct"/>
            <w:gridSpan w:val="2"/>
            <w:shd w:val="clear" w:color="auto" w:fill="FFFFFF" w:themeFill="background1"/>
          </w:tcPr>
          <w:p w14:paraId="66204FF1" w14:textId="6F8606A3"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81" w:type="pct"/>
            <w:gridSpan w:val="2"/>
            <w:shd w:val="clear" w:color="auto" w:fill="FFFFFF" w:themeFill="background1"/>
          </w:tcPr>
          <w:p w14:paraId="2DBF0D7D" w14:textId="01C55CDD"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287" w:type="pct"/>
            <w:gridSpan w:val="2"/>
            <w:shd w:val="clear" w:color="auto" w:fill="FFFFFF" w:themeFill="background1"/>
          </w:tcPr>
          <w:p w14:paraId="6B62F1B3" w14:textId="5DDC8ACD"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14" w:type="pct"/>
            <w:shd w:val="clear" w:color="auto" w:fill="FFFFFF" w:themeFill="background1"/>
          </w:tcPr>
          <w:p w14:paraId="02F2C34E" w14:textId="278D2CEA"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298" w:type="pct"/>
            <w:shd w:val="clear" w:color="auto" w:fill="FFFFFF" w:themeFill="background1"/>
          </w:tcPr>
          <w:p w14:paraId="680A4E5D" w14:textId="28BCE5A6"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22" w:type="pct"/>
            <w:shd w:val="clear" w:color="auto" w:fill="FFFFFF" w:themeFill="background1"/>
          </w:tcPr>
          <w:p w14:paraId="19219836" w14:textId="25C6675E"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21" w:type="pct"/>
            <w:gridSpan w:val="2"/>
            <w:shd w:val="clear" w:color="auto" w:fill="FFFFFF" w:themeFill="background1"/>
          </w:tcPr>
          <w:p w14:paraId="296FEF7D" w14:textId="59F53686"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25" w:type="pct"/>
            <w:gridSpan w:val="2"/>
            <w:shd w:val="clear" w:color="auto" w:fill="FFFFFF" w:themeFill="background1"/>
          </w:tcPr>
          <w:p w14:paraId="7194DBDC" w14:textId="605CD278"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20" w:type="pct"/>
            <w:shd w:val="clear" w:color="auto" w:fill="FFFFFF" w:themeFill="background1"/>
          </w:tcPr>
          <w:p w14:paraId="769D0D3C" w14:textId="65331911"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72" w:type="pct"/>
            <w:shd w:val="clear" w:color="auto" w:fill="FFFFFF" w:themeFill="background1"/>
          </w:tcPr>
          <w:p w14:paraId="54CD245A" w14:textId="3D4DE683" w:rsidR="00FC7D95" w:rsidRPr="00FC7D95" w:rsidRDefault="00FC7D95" w:rsidP="00FC7D95">
            <w:pPr>
              <w:spacing w:line="240" w:lineRule="auto"/>
              <w:rPr>
                <w:rFonts w:asciiTheme="minorHAnsi" w:hAnsiTheme="minorHAnsi" w:cstheme="minorHAnsi"/>
                <w:color w:val="000000"/>
                <w:spacing w:val="-2"/>
                <w:sz w:val="14"/>
                <w:szCs w:val="14"/>
              </w:rPr>
            </w:pPr>
            <w:r w:rsidRPr="00FC7D95">
              <w:rPr>
                <w:rFonts w:asciiTheme="minorHAnsi" w:hAnsiTheme="minorHAnsi" w:cstheme="minorHAnsi"/>
                <w:color w:val="000000"/>
                <w:sz w:val="14"/>
                <w:szCs w:val="14"/>
              </w:rPr>
              <w:t>0,00</w:t>
            </w:r>
          </w:p>
        </w:tc>
      </w:tr>
      <w:tr w:rsidR="00FC7D95" w:rsidRPr="0061764D" w14:paraId="3285312D" w14:textId="77777777" w:rsidTr="00FC7D95">
        <w:trPr>
          <w:trHeight w:val="428"/>
        </w:trPr>
        <w:tc>
          <w:tcPr>
            <w:tcW w:w="1148" w:type="pct"/>
            <w:gridSpan w:val="3"/>
            <w:shd w:val="clear" w:color="auto" w:fill="FFFFFF" w:themeFill="background1"/>
            <w:vAlign w:val="center"/>
          </w:tcPr>
          <w:p w14:paraId="55338289" w14:textId="77777777"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budżet państwa</w:t>
            </w:r>
          </w:p>
        </w:tc>
        <w:tc>
          <w:tcPr>
            <w:tcW w:w="263" w:type="pct"/>
            <w:shd w:val="clear" w:color="auto" w:fill="FFFFFF" w:themeFill="background1"/>
          </w:tcPr>
          <w:p w14:paraId="1231BE67" w14:textId="5A9DBEE5"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30" w:type="pct"/>
            <w:shd w:val="clear" w:color="auto" w:fill="FFFFFF" w:themeFill="background1"/>
          </w:tcPr>
          <w:p w14:paraId="36FEB5B0" w14:textId="59B97C85"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20" w:type="pct"/>
            <w:gridSpan w:val="2"/>
            <w:shd w:val="clear" w:color="auto" w:fill="FFFFFF" w:themeFill="background1"/>
          </w:tcPr>
          <w:p w14:paraId="30D7AA69" w14:textId="03B9876A"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81" w:type="pct"/>
            <w:gridSpan w:val="2"/>
            <w:shd w:val="clear" w:color="auto" w:fill="FFFFFF" w:themeFill="background1"/>
          </w:tcPr>
          <w:p w14:paraId="7196D064" w14:textId="0B884675"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287" w:type="pct"/>
            <w:gridSpan w:val="2"/>
            <w:shd w:val="clear" w:color="auto" w:fill="FFFFFF" w:themeFill="background1"/>
          </w:tcPr>
          <w:p w14:paraId="34FF1C98" w14:textId="70C5C46B"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14" w:type="pct"/>
            <w:shd w:val="clear" w:color="auto" w:fill="FFFFFF" w:themeFill="background1"/>
          </w:tcPr>
          <w:p w14:paraId="6D072C0D" w14:textId="6E00DC94"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298" w:type="pct"/>
            <w:shd w:val="clear" w:color="auto" w:fill="FFFFFF" w:themeFill="background1"/>
          </w:tcPr>
          <w:p w14:paraId="48A21919" w14:textId="71C2CCA5"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22" w:type="pct"/>
            <w:shd w:val="clear" w:color="auto" w:fill="FFFFFF" w:themeFill="background1"/>
          </w:tcPr>
          <w:p w14:paraId="6BD18F9B" w14:textId="477839B8"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21" w:type="pct"/>
            <w:gridSpan w:val="2"/>
            <w:shd w:val="clear" w:color="auto" w:fill="FFFFFF" w:themeFill="background1"/>
          </w:tcPr>
          <w:p w14:paraId="238601FE" w14:textId="2F398D1F"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25" w:type="pct"/>
            <w:gridSpan w:val="2"/>
            <w:shd w:val="clear" w:color="auto" w:fill="FFFFFF" w:themeFill="background1"/>
          </w:tcPr>
          <w:p w14:paraId="0F3CABC7" w14:textId="640326B3"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20" w:type="pct"/>
            <w:shd w:val="clear" w:color="auto" w:fill="FFFFFF" w:themeFill="background1"/>
          </w:tcPr>
          <w:p w14:paraId="5B08B5D1" w14:textId="7455880D"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72" w:type="pct"/>
            <w:shd w:val="clear" w:color="auto" w:fill="FFFFFF" w:themeFill="background1"/>
          </w:tcPr>
          <w:p w14:paraId="16DEB4AB" w14:textId="7091095A" w:rsidR="00FC7D95" w:rsidRPr="00FC7D95" w:rsidRDefault="00FC7D95" w:rsidP="00FC7D95">
            <w:pPr>
              <w:spacing w:line="240" w:lineRule="auto"/>
              <w:rPr>
                <w:rFonts w:asciiTheme="minorHAnsi" w:hAnsiTheme="minorHAnsi" w:cstheme="minorHAnsi"/>
                <w:color w:val="000000"/>
                <w:spacing w:val="-2"/>
                <w:sz w:val="14"/>
                <w:szCs w:val="14"/>
              </w:rPr>
            </w:pPr>
            <w:r w:rsidRPr="00FC7D95">
              <w:rPr>
                <w:rFonts w:asciiTheme="minorHAnsi" w:hAnsiTheme="minorHAnsi" w:cstheme="minorHAnsi"/>
                <w:color w:val="000000"/>
                <w:sz w:val="14"/>
                <w:szCs w:val="14"/>
              </w:rPr>
              <w:t>0,00</w:t>
            </w:r>
          </w:p>
        </w:tc>
      </w:tr>
      <w:tr w:rsidR="00FC7D95" w:rsidRPr="0061764D" w14:paraId="12DDA1B5" w14:textId="77777777" w:rsidTr="00FC7D95">
        <w:trPr>
          <w:trHeight w:val="344"/>
        </w:trPr>
        <w:tc>
          <w:tcPr>
            <w:tcW w:w="1148" w:type="pct"/>
            <w:gridSpan w:val="3"/>
            <w:shd w:val="clear" w:color="auto" w:fill="FFFFFF" w:themeFill="background1"/>
            <w:vAlign w:val="center"/>
          </w:tcPr>
          <w:p w14:paraId="7499D2BB" w14:textId="77777777"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JST</w:t>
            </w:r>
          </w:p>
        </w:tc>
        <w:tc>
          <w:tcPr>
            <w:tcW w:w="263" w:type="pct"/>
            <w:shd w:val="clear" w:color="auto" w:fill="FFFFFF" w:themeFill="background1"/>
          </w:tcPr>
          <w:p w14:paraId="0AD9C6F4" w14:textId="70B1458F"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30" w:type="pct"/>
            <w:shd w:val="clear" w:color="auto" w:fill="FFFFFF" w:themeFill="background1"/>
          </w:tcPr>
          <w:p w14:paraId="4B1F511A" w14:textId="3BEAD7AD"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20" w:type="pct"/>
            <w:gridSpan w:val="2"/>
            <w:shd w:val="clear" w:color="auto" w:fill="FFFFFF" w:themeFill="background1"/>
          </w:tcPr>
          <w:p w14:paraId="65F9C3DC" w14:textId="7F8CAC12"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81" w:type="pct"/>
            <w:gridSpan w:val="2"/>
            <w:shd w:val="clear" w:color="auto" w:fill="FFFFFF" w:themeFill="background1"/>
          </w:tcPr>
          <w:p w14:paraId="5023141B" w14:textId="0603A484"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287" w:type="pct"/>
            <w:gridSpan w:val="2"/>
            <w:shd w:val="clear" w:color="auto" w:fill="FFFFFF" w:themeFill="background1"/>
          </w:tcPr>
          <w:p w14:paraId="1F3B1409" w14:textId="6E0D36ED"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14" w:type="pct"/>
            <w:shd w:val="clear" w:color="auto" w:fill="FFFFFF" w:themeFill="background1"/>
          </w:tcPr>
          <w:p w14:paraId="562C75D1" w14:textId="321B1639"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298" w:type="pct"/>
            <w:shd w:val="clear" w:color="auto" w:fill="FFFFFF" w:themeFill="background1"/>
          </w:tcPr>
          <w:p w14:paraId="664355AD" w14:textId="5931D0BF"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22" w:type="pct"/>
            <w:shd w:val="clear" w:color="auto" w:fill="FFFFFF" w:themeFill="background1"/>
          </w:tcPr>
          <w:p w14:paraId="1A965116" w14:textId="6A4B2700"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21" w:type="pct"/>
            <w:gridSpan w:val="2"/>
            <w:shd w:val="clear" w:color="auto" w:fill="FFFFFF" w:themeFill="background1"/>
          </w:tcPr>
          <w:p w14:paraId="7DF4E37C" w14:textId="4DE79AF4"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25" w:type="pct"/>
            <w:gridSpan w:val="2"/>
            <w:shd w:val="clear" w:color="auto" w:fill="FFFFFF" w:themeFill="background1"/>
          </w:tcPr>
          <w:p w14:paraId="44FB30F8" w14:textId="67F08A73"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20" w:type="pct"/>
            <w:shd w:val="clear" w:color="auto" w:fill="FFFFFF" w:themeFill="background1"/>
          </w:tcPr>
          <w:p w14:paraId="1DA6542E" w14:textId="105143A0"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72" w:type="pct"/>
            <w:shd w:val="clear" w:color="auto" w:fill="FFFFFF" w:themeFill="background1"/>
          </w:tcPr>
          <w:p w14:paraId="3041E394" w14:textId="0720B2C4"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r>
      <w:tr w:rsidR="00FC7D95" w:rsidRPr="0061764D" w14:paraId="5358CAF4" w14:textId="77777777" w:rsidTr="00FC7D95">
        <w:trPr>
          <w:trHeight w:val="344"/>
        </w:trPr>
        <w:tc>
          <w:tcPr>
            <w:tcW w:w="1148" w:type="pct"/>
            <w:gridSpan w:val="3"/>
            <w:shd w:val="clear" w:color="auto" w:fill="FFFFFF" w:themeFill="background1"/>
            <w:vAlign w:val="center"/>
          </w:tcPr>
          <w:p w14:paraId="4F80D5C1" w14:textId="77777777"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pozostałe jednostki (oddzielnie)</w:t>
            </w:r>
          </w:p>
        </w:tc>
        <w:tc>
          <w:tcPr>
            <w:tcW w:w="263" w:type="pct"/>
            <w:shd w:val="clear" w:color="auto" w:fill="FFFFFF" w:themeFill="background1"/>
          </w:tcPr>
          <w:p w14:paraId="722B00AE" w14:textId="5BC66E24"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30" w:type="pct"/>
            <w:shd w:val="clear" w:color="auto" w:fill="FFFFFF" w:themeFill="background1"/>
          </w:tcPr>
          <w:p w14:paraId="42C6D796" w14:textId="3B60EE20"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20" w:type="pct"/>
            <w:gridSpan w:val="2"/>
            <w:shd w:val="clear" w:color="auto" w:fill="FFFFFF" w:themeFill="background1"/>
          </w:tcPr>
          <w:p w14:paraId="6E1831B3" w14:textId="52B22214"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81" w:type="pct"/>
            <w:gridSpan w:val="2"/>
            <w:shd w:val="clear" w:color="auto" w:fill="FFFFFF" w:themeFill="background1"/>
          </w:tcPr>
          <w:p w14:paraId="54E11D2A" w14:textId="54CB144A"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287" w:type="pct"/>
            <w:gridSpan w:val="2"/>
            <w:shd w:val="clear" w:color="auto" w:fill="FFFFFF" w:themeFill="background1"/>
          </w:tcPr>
          <w:p w14:paraId="31126E5D" w14:textId="0C011E42"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14" w:type="pct"/>
            <w:shd w:val="clear" w:color="auto" w:fill="FFFFFF" w:themeFill="background1"/>
          </w:tcPr>
          <w:p w14:paraId="2DE403A5" w14:textId="5430574E"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298" w:type="pct"/>
            <w:shd w:val="clear" w:color="auto" w:fill="FFFFFF" w:themeFill="background1"/>
          </w:tcPr>
          <w:p w14:paraId="62431CDC" w14:textId="6722247F"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22" w:type="pct"/>
            <w:shd w:val="clear" w:color="auto" w:fill="FFFFFF" w:themeFill="background1"/>
          </w:tcPr>
          <w:p w14:paraId="49E398E2" w14:textId="60241F10"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21" w:type="pct"/>
            <w:gridSpan w:val="2"/>
            <w:shd w:val="clear" w:color="auto" w:fill="FFFFFF" w:themeFill="background1"/>
          </w:tcPr>
          <w:p w14:paraId="16287F21" w14:textId="4930616D"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25" w:type="pct"/>
            <w:gridSpan w:val="2"/>
            <w:shd w:val="clear" w:color="auto" w:fill="FFFFFF" w:themeFill="background1"/>
          </w:tcPr>
          <w:p w14:paraId="5BE93A62" w14:textId="11FC4D6C"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20" w:type="pct"/>
            <w:shd w:val="clear" w:color="auto" w:fill="FFFFFF" w:themeFill="background1"/>
          </w:tcPr>
          <w:p w14:paraId="384BA73E" w14:textId="189C0FFE"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72" w:type="pct"/>
            <w:shd w:val="clear" w:color="auto" w:fill="FFFFFF" w:themeFill="background1"/>
          </w:tcPr>
          <w:p w14:paraId="34B3F2EB" w14:textId="0C76C06E"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r>
      <w:tr w:rsidR="00FC7D95" w:rsidRPr="0061764D" w14:paraId="182CB2FF" w14:textId="77777777" w:rsidTr="00FC7D95">
        <w:trPr>
          <w:trHeight w:val="330"/>
        </w:trPr>
        <w:tc>
          <w:tcPr>
            <w:tcW w:w="1148" w:type="pct"/>
            <w:gridSpan w:val="3"/>
            <w:shd w:val="clear" w:color="auto" w:fill="FFFFFF" w:themeFill="background1"/>
            <w:vAlign w:val="center"/>
          </w:tcPr>
          <w:p w14:paraId="17EEE287" w14:textId="77777777"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b/>
                <w:color w:val="000000"/>
                <w:sz w:val="14"/>
                <w:szCs w:val="14"/>
              </w:rPr>
              <w:t>Wydatki ogółem</w:t>
            </w:r>
          </w:p>
        </w:tc>
        <w:tc>
          <w:tcPr>
            <w:tcW w:w="263" w:type="pct"/>
            <w:shd w:val="clear" w:color="auto" w:fill="FFFFFF" w:themeFill="background1"/>
          </w:tcPr>
          <w:p w14:paraId="7D34F5C7" w14:textId="728F7400"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30" w:type="pct"/>
            <w:shd w:val="clear" w:color="auto" w:fill="FFFFFF" w:themeFill="background1"/>
          </w:tcPr>
          <w:p w14:paraId="0B4020A7" w14:textId="063B24FE" w:rsidR="00FC7D95" w:rsidRPr="00FC7D95" w:rsidRDefault="00FC7D95" w:rsidP="00FC7D95">
            <w:pPr>
              <w:spacing w:line="240" w:lineRule="auto"/>
              <w:rPr>
                <w:rFonts w:asciiTheme="minorHAnsi" w:hAnsiTheme="minorHAnsi" w:cstheme="minorHAnsi"/>
                <w:b/>
                <w:bCs/>
                <w:color w:val="000000"/>
                <w:sz w:val="14"/>
                <w:szCs w:val="14"/>
              </w:rPr>
            </w:pPr>
            <w:r w:rsidRPr="00FC7D95">
              <w:rPr>
                <w:rFonts w:asciiTheme="minorHAnsi" w:hAnsiTheme="minorHAnsi" w:cstheme="minorHAnsi"/>
                <w:b/>
                <w:bCs/>
                <w:color w:val="000000"/>
                <w:sz w:val="14"/>
                <w:szCs w:val="14"/>
              </w:rPr>
              <w:t>1 203,01</w:t>
            </w:r>
          </w:p>
        </w:tc>
        <w:tc>
          <w:tcPr>
            <w:tcW w:w="320" w:type="pct"/>
            <w:gridSpan w:val="2"/>
            <w:shd w:val="clear" w:color="auto" w:fill="FFFFFF" w:themeFill="background1"/>
          </w:tcPr>
          <w:p w14:paraId="1D7B270A" w14:textId="1F210506" w:rsidR="00FC7D95" w:rsidRPr="00FC7D95" w:rsidRDefault="00FC7D95" w:rsidP="00FC7D95">
            <w:pPr>
              <w:spacing w:line="240" w:lineRule="auto"/>
              <w:rPr>
                <w:rFonts w:asciiTheme="minorHAnsi" w:hAnsiTheme="minorHAnsi" w:cstheme="minorHAnsi"/>
                <w:b/>
                <w:bCs/>
                <w:color w:val="000000"/>
                <w:sz w:val="14"/>
                <w:szCs w:val="14"/>
              </w:rPr>
            </w:pPr>
            <w:r w:rsidRPr="00FC7D95">
              <w:rPr>
                <w:rFonts w:asciiTheme="minorHAnsi" w:hAnsiTheme="minorHAnsi" w:cstheme="minorHAnsi"/>
                <w:b/>
                <w:bCs/>
                <w:color w:val="000000"/>
                <w:sz w:val="14"/>
                <w:szCs w:val="14"/>
              </w:rPr>
              <w:t>1 209,06</w:t>
            </w:r>
          </w:p>
        </w:tc>
        <w:tc>
          <w:tcPr>
            <w:tcW w:w="381" w:type="pct"/>
            <w:gridSpan w:val="2"/>
            <w:shd w:val="clear" w:color="auto" w:fill="FFFFFF" w:themeFill="background1"/>
          </w:tcPr>
          <w:p w14:paraId="4F904CB7" w14:textId="5BF3AD42" w:rsidR="00FC7D95" w:rsidRPr="00FC7D95" w:rsidRDefault="00FC7D95" w:rsidP="00FC7D95">
            <w:pPr>
              <w:spacing w:line="240" w:lineRule="auto"/>
              <w:rPr>
                <w:rFonts w:asciiTheme="minorHAnsi" w:hAnsiTheme="minorHAnsi" w:cstheme="minorHAnsi"/>
                <w:b/>
                <w:bCs/>
                <w:color w:val="000000"/>
                <w:sz w:val="14"/>
                <w:szCs w:val="14"/>
              </w:rPr>
            </w:pPr>
            <w:r w:rsidRPr="00FC7D95">
              <w:rPr>
                <w:rFonts w:asciiTheme="minorHAnsi" w:hAnsiTheme="minorHAnsi" w:cstheme="minorHAnsi"/>
                <w:b/>
                <w:bCs/>
                <w:color w:val="000000"/>
                <w:sz w:val="14"/>
                <w:szCs w:val="14"/>
              </w:rPr>
              <w:t>1 059, 67</w:t>
            </w:r>
          </w:p>
        </w:tc>
        <w:tc>
          <w:tcPr>
            <w:tcW w:w="287" w:type="pct"/>
            <w:gridSpan w:val="2"/>
            <w:shd w:val="clear" w:color="auto" w:fill="FFFFFF" w:themeFill="background1"/>
          </w:tcPr>
          <w:p w14:paraId="06971CD3" w14:textId="6B05FFD5" w:rsidR="00FC7D95" w:rsidRPr="00FC7D95" w:rsidRDefault="00FC7D95" w:rsidP="00FC7D95">
            <w:pPr>
              <w:spacing w:line="240" w:lineRule="auto"/>
              <w:rPr>
                <w:rFonts w:asciiTheme="minorHAnsi" w:hAnsiTheme="minorHAnsi" w:cstheme="minorHAnsi"/>
                <w:b/>
                <w:bCs/>
                <w:color w:val="000000"/>
                <w:sz w:val="14"/>
                <w:szCs w:val="14"/>
              </w:rPr>
            </w:pPr>
            <w:r w:rsidRPr="00FC7D95">
              <w:rPr>
                <w:rFonts w:asciiTheme="minorHAnsi" w:hAnsiTheme="minorHAnsi" w:cstheme="minorHAnsi"/>
                <w:b/>
                <w:bCs/>
                <w:color w:val="000000"/>
                <w:sz w:val="14"/>
                <w:szCs w:val="14"/>
              </w:rPr>
              <w:t>937,56</w:t>
            </w:r>
          </w:p>
        </w:tc>
        <w:tc>
          <w:tcPr>
            <w:tcW w:w="314" w:type="pct"/>
            <w:shd w:val="clear" w:color="auto" w:fill="FFFFFF" w:themeFill="background1"/>
          </w:tcPr>
          <w:p w14:paraId="2A1F701D" w14:textId="4524E5BC" w:rsidR="00FC7D95" w:rsidRPr="00FC7D95" w:rsidRDefault="00FC7D95" w:rsidP="00FC7D95">
            <w:pPr>
              <w:spacing w:line="240" w:lineRule="auto"/>
              <w:rPr>
                <w:rFonts w:asciiTheme="minorHAnsi" w:hAnsiTheme="minorHAnsi" w:cstheme="minorHAnsi"/>
                <w:b/>
                <w:bCs/>
                <w:color w:val="000000"/>
                <w:sz w:val="14"/>
                <w:szCs w:val="14"/>
              </w:rPr>
            </w:pPr>
            <w:r w:rsidRPr="00FC7D95">
              <w:rPr>
                <w:rFonts w:asciiTheme="minorHAnsi" w:hAnsiTheme="minorHAnsi" w:cstheme="minorHAnsi"/>
                <w:b/>
                <w:bCs/>
                <w:color w:val="000000"/>
                <w:sz w:val="14"/>
                <w:szCs w:val="14"/>
              </w:rPr>
              <w:t>492,92</w:t>
            </w:r>
          </w:p>
        </w:tc>
        <w:tc>
          <w:tcPr>
            <w:tcW w:w="298" w:type="pct"/>
            <w:shd w:val="clear" w:color="auto" w:fill="FFFFFF" w:themeFill="background1"/>
          </w:tcPr>
          <w:p w14:paraId="03EFCA41" w14:textId="3A512B7C" w:rsidR="00FC7D95" w:rsidRPr="00FC7D95" w:rsidRDefault="00FC7D95" w:rsidP="00FC7D95">
            <w:pPr>
              <w:spacing w:line="240" w:lineRule="auto"/>
              <w:rPr>
                <w:rFonts w:asciiTheme="minorHAnsi" w:hAnsiTheme="minorHAnsi" w:cstheme="minorHAnsi"/>
                <w:b/>
                <w:bCs/>
                <w:color w:val="000000"/>
                <w:sz w:val="14"/>
                <w:szCs w:val="14"/>
                <w:highlight w:val="yellow"/>
              </w:rPr>
            </w:pPr>
            <w:r w:rsidRPr="00FC7D95">
              <w:rPr>
                <w:rFonts w:asciiTheme="minorHAnsi" w:hAnsiTheme="minorHAnsi" w:cstheme="minorHAnsi"/>
                <w:b/>
                <w:bCs/>
                <w:color w:val="000000"/>
                <w:sz w:val="14"/>
                <w:szCs w:val="14"/>
              </w:rPr>
              <w:t>507,22</w:t>
            </w:r>
          </w:p>
        </w:tc>
        <w:tc>
          <w:tcPr>
            <w:tcW w:w="322" w:type="pct"/>
            <w:shd w:val="clear" w:color="auto" w:fill="FFFFFF" w:themeFill="background1"/>
          </w:tcPr>
          <w:p w14:paraId="5F96A722" w14:textId="52E931C1" w:rsidR="00FC7D95" w:rsidRPr="00FC7D95" w:rsidRDefault="00FC7D95" w:rsidP="00FC7D95">
            <w:pPr>
              <w:spacing w:line="240" w:lineRule="auto"/>
              <w:rPr>
                <w:rFonts w:asciiTheme="minorHAnsi" w:hAnsiTheme="minorHAnsi" w:cstheme="minorHAnsi"/>
                <w:b/>
                <w:bCs/>
                <w:color w:val="000000"/>
                <w:sz w:val="14"/>
                <w:szCs w:val="14"/>
              </w:rPr>
            </w:pPr>
            <w:r w:rsidRPr="00FC7D95">
              <w:rPr>
                <w:rFonts w:asciiTheme="minorHAnsi" w:hAnsiTheme="minorHAnsi" w:cstheme="minorHAnsi"/>
                <w:b/>
                <w:bCs/>
                <w:color w:val="000000"/>
                <w:sz w:val="14"/>
                <w:szCs w:val="14"/>
              </w:rPr>
              <w:t>521,93</w:t>
            </w:r>
          </w:p>
        </w:tc>
        <w:tc>
          <w:tcPr>
            <w:tcW w:w="321" w:type="pct"/>
            <w:gridSpan w:val="2"/>
            <w:shd w:val="clear" w:color="auto" w:fill="FFFFFF" w:themeFill="background1"/>
          </w:tcPr>
          <w:p w14:paraId="5B95CD12" w14:textId="2DED7DFF" w:rsidR="00FC7D95" w:rsidRPr="00FC7D95" w:rsidRDefault="00FC7D95" w:rsidP="00FC7D95">
            <w:pPr>
              <w:spacing w:line="240" w:lineRule="auto"/>
              <w:rPr>
                <w:rFonts w:asciiTheme="minorHAnsi" w:hAnsiTheme="minorHAnsi" w:cstheme="minorHAnsi"/>
                <w:b/>
                <w:bCs/>
                <w:color w:val="000000"/>
                <w:sz w:val="14"/>
                <w:szCs w:val="14"/>
              </w:rPr>
            </w:pPr>
            <w:r w:rsidRPr="00FC7D95">
              <w:rPr>
                <w:rFonts w:asciiTheme="minorHAnsi" w:hAnsiTheme="minorHAnsi" w:cstheme="minorHAnsi"/>
                <w:b/>
                <w:bCs/>
                <w:color w:val="000000"/>
                <w:sz w:val="14"/>
                <w:szCs w:val="14"/>
              </w:rPr>
              <w:t>537,07</w:t>
            </w:r>
          </w:p>
        </w:tc>
        <w:tc>
          <w:tcPr>
            <w:tcW w:w="325" w:type="pct"/>
            <w:gridSpan w:val="2"/>
            <w:shd w:val="clear" w:color="auto" w:fill="FFFFFF" w:themeFill="background1"/>
          </w:tcPr>
          <w:p w14:paraId="5220BBB2" w14:textId="26F951D1" w:rsidR="00FC7D95" w:rsidRPr="00FC7D95" w:rsidRDefault="00FC7D95" w:rsidP="00FC7D95">
            <w:pPr>
              <w:spacing w:line="240" w:lineRule="auto"/>
              <w:rPr>
                <w:rFonts w:asciiTheme="minorHAnsi" w:hAnsiTheme="minorHAnsi" w:cstheme="minorHAnsi"/>
                <w:b/>
                <w:bCs/>
                <w:color w:val="000000"/>
                <w:sz w:val="14"/>
                <w:szCs w:val="14"/>
              </w:rPr>
            </w:pPr>
            <w:r w:rsidRPr="00FC7D95">
              <w:rPr>
                <w:rFonts w:asciiTheme="minorHAnsi" w:hAnsiTheme="minorHAnsi" w:cstheme="minorHAnsi"/>
                <w:b/>
                <w:bCs/>
                <w:color w:val="000000"/>
                <w:sz w:val="14"/>
                <w:szCs w:val="14"/>
              </w:rPr>
              <w:t>552,10</w:t>
            </w:r>
          </w:p>
        </w:tc>
        <w:tc>
          <w:tcPr>
            <w:tcW w:w="320" w:type="pct"/>
            <w:shd w:val="clear" w:color="auto" w:fill="FFFFFF" w:themeFill="background1"/>
          </w:tcPr>
          <w:p w14:paraId="13CB595B" w14:textId="36ADDFC5" w:rsidR="00FC7D95" w:rsidRPr="00FC7D95" w:rsidRDefault="00FC7D95" w:rsidP="00FC7D95">
            <w:pPr>
              <w:spacing w:line="240" w:lineRule="auto"/>
              <w:rPr>
                <w:rFonts w:asciiTheme="minorHAnsi" w:hAnsiTheme="minorHAnsi" w:cstheme="minorHAnsi"/>
                <w:b/>
                <w:bCs/>
                <w:color w:val="000000"/>
                <w:sz w:val="14"/>
                <w:szCs w:val="14"/>
              </w:rPr>
            </w:pPr>
            <w:r w:rsidRPr="00FC7D95">
              <w:rPr>
                <w:rFonts w:asciiTheme="minorHAnsi" w:hAnsiTheme="minorHAnsi" w:cstheme="minorHAnsi"/>
                <w:b/>
                <w:bCs/>
                <w:color w:val="000000"/>
                <w:sz w:val="14"/>
                <w:szCs w:val="14"/>
              </w:rPr>
              <w:t>567,56</w:t>
            </w:r>
          </w:p>
        </w:tc>
        <w:tc>
          <w:tcPr>
            <w:tcW w:w="372" w:type="pct"/>
            <w:shd w:val="clear" w:color="auto" w:fill="FFFFFF" w:themeFill="background1"/>
          </w:tcPr>
          <w:p w14:paraId="6D9C8D39" w14:textId="3981CDED" w:rsidR="00FC7D95" w:rsidRPr="00FC7D95" w:rsidRDefault="00FC7D95" w:rsidP="00FC7D95">
            <w:pPr>
              <w:spacing w:line="240" w:lineRule="auto"/>
              <w:rPr>
                <w:rFonts w:asciiTheme="minorHAnsi" w:hAnsiTheme="minorHAnsi" w:cstheme="minorHAnsi"/>
                <w:b/>
                <w:bCs/>
                <w:color w:val="000000"/>
                <w:sz w:val="14"/>
                <w:szCs w:val="14"/>
              </w:rPr>
            </w:pPr>
            <w:r w:rsidRPr="00FC7D95">
              <w:rPr>
                <w:rFonts w:asciiTheme="minorHAnsi" w:hAnsiTheme="minorHAnsi" w:cstheme="minorHAnsi"/>
                <w:b/>
                <w:bCs/>
                <w:color w:val="000000"/>
                <w:sz w:val="14"/>
                <w:szCs w:val="14"/>
              </w:rPr>
              <w:t>7 588,11</w:t>
            </w:r>
          </w:p>
        </w:tc>
      </w:tr>
      <w:tr w:rsidR="00FC7D95" w:rsidRPr="0061764D" w14:paraId="0FE98B17" w14:textId="77777777" w:rsidTr="00FC7D95">
        <w:trPr>
          <w:trHeight w:val="330"/>
        </w:trPr>
        <w:tc>
          <w:tcPr>
            <w:tcW w:w="1148" w:type="pct"/>
            <w:gridSpan w:val="3"/>
            <w:shd w:val="clear" w:color="auto" w:fill="FFFFFF" w:themeFill="background1"/>
            <w:vAlign w:val="center"/>
          </w:tcPr>
          <w:p w14:paraId="2881BFC8" w14:textId="0329E0D2"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budżet państwa – koszty wynagrodzeń asystentów prawnych</w:t>
            </w:r>
          </w:p>
        </w:tc>
        <w:tc>
          <w:tcPr>
            <w:tcW w:w="263" w:type="pct"/>
            <w:shd w:val="clear" w:color="auto" w:fill="FFFFFF" w:themeFill="background1"/>
          </w:tcPr>
          <w:p w14:paraId="675E05EE" w14:textId="49374850"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30" w:type="pct"/>
            <w:shd w:val="clear" w:color="auto" w:fill="FFFFFF" w:themeFill="background1"/>
          </w:tcPr>
          <w:p w14:paraId="2FC17F8B" w14:textId="3A159B85"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383,16</w:t>
            </w:r>
          </w:p>
        </w:tc>
        <w:tc>
          <w:tcPr>
            <w:tcW w:w="320" w:type="pct"/>
            <w:gridSpan w:val="2"/>
            <w:shd w:val="clear" w:color="auto" w:fill="FFFFFF" w:themeFill="background1"/>
          </w:tcPr>
          <w:p w14:paraId="0A4F7224" w14:textId="528634AE"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432,62</w:t>
            </w:r>
          </w:p>
        </w:tc>
        <w:tc>
          <w:tcPr>
            <w:tcW w:w="381" w:type="pct"/>
            <w:gridSpan w:val="2"/>
            <w:shd w:val="clear" w:color="auto" w:fill="FFFFFF" w:themeFill="background1"/>
          </w:tcPr>
          <w:p w14:paraId="5AE48A43" w14:textId="40071D8A"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482,74</w:t>
            </w:r>
          </w:p>
        </w:tc>
        <w:tc>
          <w:tcPr>
            <w:tcW w:w="287" w:type="pct"/>
            <w:gridSpan w:val="2"/>
            <w:shd w:val="clear" w:color="auto" w:fill="FFFFFF" w:themeFill="background1"/>
          </w:tcPr>
          <w:p w14:paraId="50F40DEB" w14:textId="4E3978C8"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534,95</w:t>
            </w:r>
          </w:p>
        </w:tc>
        <w:tc>
          <w:tcPr>
            <w:tcW w:w="314" w:type="pct"/>
            <w:shd w:val="clear" w:color="auto" w:fill="FFFFFF" w:themeFill="background1"/>
          </w:tcPr>
          <w:p w14:paraId="77A52294" w14:textId="5CDCBB70"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275,23</w:t>
            </w:r>
          </w:p>
        </w:tc>
        <w:tc>
          <w:tcPr>
            <w:tcW w:w="298" w:type="pct"/>
            <w:shd w:val="clear" w:color="auto" w:fill="FFFFFF" w:themeFill="background1"/>
          </w:tcPr>
          <w:p w14:paraId="007DCDA8" w14:textId="70CBDC4D"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283,21</w:t>
            </w:r>
          </w:p>
        </w:tc>
        <w:tc>
          <w:tcPr>
            <w:tcW w:w="322" w:type="pct"/>
            <w:shd w:val="clear" w:color="auto" w:fill="FFFFFF" w:themeFill="background1"/>
          </w:tcPr>
          <w:p w14:paraId="450EA2D7" w14:textId="57E9C167"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291,42</w:t>
            </w:r>
          </w:p>
        </w:tc>
        <w:tc>
          <w:tcPr>
            <w:tcW w:w="321" w:type="pct"/>
            <w:gridSpan w:val="2"/>
            <w:shd w:val="clear" w:color="auto" w:fill="FFFFFF" w:themeFill="background1"/>
          </w:tcPr>
          <w:p w14:paraId="3DD355C9" w14:textId="3CF41DAE"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299,88</w:t>
            </w:r>
          </w:p>
        </w:tc>
        <w:tc>
          <w:tcPr>
            <w:tcW w:w="325" w:type="pct"/>
            <w:gridSpan w:val="2"/>
            <w:shd w:val="clear" w:color="auto" w:fill="FFFFFF" w:themeFill="background1"/>
          </w:tcPr>
          <w:p w14:paraId="1A81F0B1" w14:textId="448ECFE6"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308,27</w:t>
            </w:r>
          </w:p>
        </w:tc>
        <w:tc>
          <w:tcPr>
            <w:tcW w:w="320" w:type="pct"/>
            <w:shd w:val="clear" w:color="auto" w:fill="FFFFFF" w:themeFill="background1"/>
          </w:tcPr>
          <w:p w14:paraId="717AAFBA" w14:textId="5C4A4A91"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316,90</w:t>
            </w:r>
          </w:p>
        </w:tc>
        <w:tc>
          <w:tcPr>
            <w:tcW w:w="372" w:type="pct"/>
            <w:shd w:val="clear" w:color="auto" w:fill="FFFFFF" w:themeFill="background1"/>
          </w:tcPr>
          <w:p w14:paraId="56EE48EE" w14:textId="7789ADEF" w:rsidR="00FC7D95" w:rsidRPr="00FC7D95" w:rsidRDefault="00FC7D95" w:rsidP="00FC7D95">
            <w:pPr>
              <w:spacing w:line="240" w:lineRule="auto"/>
              <w:rPr>
                <w:rFonts w:asciiTheme="minorHAnsi" w:hAnsiTheme="minorHAnsi" w:cstheme="minorHAnsi"/>
                <w:b/>
                <w:bCs/>
                <w:color w:val="000000"/>
                <w:sz w:val="14"/>
                <w:szCs w:val="14"/>
              </w:rPr>
            </w:pPr>
            <w:r w:rsidRPr="00FC7D95">
              <w:rPr>
                <w:rFonts w:asciiTheme="minorHAnsi" w:hAnsiTheme="minorHAnsi" w:cstheme="minorHAnsi"/>
                <w:b/>
                <w:bCs/>
                <w:color w:val="000000"/>
                <w:sz w:val="14"/>
                <w:szCs w:val="14"/>
              </w:rPr>
              <w:t>3 608,38</w:t>
            </w:r>
          </w:p>
        </w:tc>
      </w:tr>
      <w:tr w:rsidR="00FC7D95" w:rsidRPr="0061764D" w14:paraId="44A26F30" w14:textId="77777777" w:rsidTr="00FC7D95">
        <w:trPr>
          <w:trHeight w:val="330"/>
        </w:trPr>
        <w:tc>
          <w:tcPr>
            <w:tcW w:w="1148" w:type="pct"/>
            <w:gridSpan w:val="3"/>
            <w:shd w:val="clear" w:color="auto" w:fill="FFFFFF" w:themeFill="background1"/>
            <w:vAlign w:val="center"/>
          </w:tcPr>
          <w:p w14:paraId="5A263D82" w14:textId="4D6D338F"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budżet państwa – koszty wynagrodzeń pełnomocników wspierających</w:t>
            </w:r>
          </w:p>
        </w:tc>
        <w:tc>
          <w:tcPr>
            <w:tcW w:w="263" w:type="pct"/>
            <w:shd w:val="clear" w:color="auto" w:fill="FFFFFF" w:themeFill="background1"/>
          </w:tcPr>
          <w:p w14:paraId="08129320" w14:textId="6FEEC2AC"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30" w:type="pct"/>
            <w:shd w:val="clear" w:color="auto" w:fill="FFFFFF" w:themeFill="background1"/>
          </w:tcPr>
          <w:p w14:paraId="4BA2DF82" w14:textId="23D0A61E"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801,15</w:t>
            </w:r>
          </w:p>
        </w:tc>
        <w:tc>
          <w:tcPr>
            <w:tcW w:w="320" w:type="pct"/>
            <w:gridSpan w:val="2"/>
            <w:shd w:val="clear" w:color="auto" w:fill="FFFFFF" w:themeFill="background1"/>
          </w:tcPr>
          <w:p w14:paraId="4265507F" w14:textId="27B90B00"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757,09</w:t>
            </w:r>
          </w:p>
        </w:tc>
        <w:tc>
          <w:tcPr>
            <w:tcW w:w="381" w:type="pct"/>
            <w:gridSpan w:val="2"/>
            <w:shd w:val="clear" w:color="auto" w:fill="FFFFFF" w:themeFill="background1"/>
          </w:tcPr>
          <w:p w14:paraId="43CE02E9" w14:textId="73FC8144"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557,00</w:t>
            </w:r>
          </w:p>
        </w:tc>
        <w:tc>
          <w:tcPr>
            <w:tcW w:w="287" w:type="pct"/>
            <w:gridSpan w:val="2"/>
            <w:shd w:val="clear" w:color="auto" w:fill="FFFFFF" w:themeFill="background1"/>
          </w:tcPr>
          <w:p w14:paraId="51527844" w14:textId="0AB7D9FF"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382,10</w:t>
            </w:r>
          </w:p>
        </w:tc>
        <w:tc>
          <w:tcPr>
            <w:tcW w:w="314" w:type="pct"/>
            <w:shd w:val="clear" w:color="auto" w:fill="FFFFFF" w:themeFill="background1"/>
          </w:tcPr>
          <w:p w14:paraId="63DC9773" w14:textId="60334F41"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196,59</w:t>
            </w:r>
          </w:p>
        </w:tc>
        <w:tc>
          <w:tcPr>
            <w:tcW w:w="298" w:type="pct"/>
            <w:shd w:val="clear" w:color="auto" w:fill="FFFFFF" w:themeFill="background1"/>
          </w:tcPr>
          <w:p w14:paraId="20AB134F" w14:textId="7C9B461A"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202,29</w:t>
            </w:r>
          </w:p>
        </w:tc>
        <w:tc>
          <w:tcPr>
            <w:tcW w:w="322" w:type="pct"/>
            <w:shd w:val="clear" w:color="auto" w:fill="FFFFFF" w:themeFill="background1"/>
          </w:tcPr>
          <w:p w14:paraId="5E109331" w14:textId="1CCDA69A"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208,16</w:t>
            </w:r>
          </w:p>
        </w:tc>
        <w:tc>
          <w:tcPr>
            <w:tcW w:w="321" w:type="pct"/>
            <w:gridSpan w:val="2"/>
            <w:shd w:val="clear" w:color="auto" w:fill="FFFFFF" w:themeFill="background1"/>
          </w:tcPr>
          <w:p w14:paraId="3CEBA24E" w14:textId="5943D40D"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214,20</w:t>
            </w:r>
          </w:p>
        </w:tc>
        <w:tc>
          <w:tcPr>
            <w:tcW w:w="325" w:type="pct"/>
            <w:gridSpan w:val="2"/>
            <w:shd w:val="clear" w:color="auto" w:fill="FFFFFF" w:themeFill="background1"/>
          </w:tcPr>
          <w:p w14:paraId="36BE6C91" w14:textId="68D1ADAF"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220,19</w:t>
            </w:r>
          </w:p>
        </w:tc>
        <w:tc>
          <w:tcPr>
            <w:tcW w:w="320" w:type="pct"/>
            <w:shd w:val="clear" w:color="auto" w:fill="FFFFFF" w:themeFill="background1"/>
          </w:tcPr>
          <w:p w14:paraId="4257D589" w14:textId="706A76FE"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226,36</w:t>
            </w:r>
          </w:p>
        </w:tc>
        <w:tc>
          <w:tcPr>
            <w:tcW w:w="372" w:type="pct"/>
            <w:shd w:val="clear" w:color="auto" w:fill="FFFFFF" w:themeFill="background1"/>
          </w:tcPr>
          <w:p w14:paraId="3EA7C0F6" w14:textId="77E2B2B7" w:rsidR="00FC7D95" w:rsidRPr="00FC7D95" w:rsidRDefault="00FC7D95" w:rsidP="00FC7D95">
            <w:pPr>
              <w:spacing w:line="240" w:lineRule="auto"/>
              <w:rPr>
                <w:rFonts w:asciiTheme="minorHAnsi" w:hAnsiTheme="minorHAnsi" w:cstheme="minorHAnsi"/>
                <w:b/>
                <w:bCs/>
                <w:color w:val="000000"/>
                <w:sz w:val="14"/>
                <w:szCs w:val="14"/>
              </w:rPr>
            </w:pPr>
            <w:r w:rsidRPr="00FC7D95">
              <w:rPr>
                <w:rFonts w:asciiTheme="minorHAnsi" w:hAnsiTheme="minorHAnsi" w:cstheme="minorHAnsi"/>
                <w:b/>
                <w:bCs/>
                <w:color w:val="000000"/>
                <w:sz w:val="14"/>
                <w:szCs w:val="14"/>
              </w:rPr>
              <w:t>3 765,15</w:t>
            </w:r>
          </w:p>
        </w:tc>
      </w:tr>
      <w:tr w:rsidR="00FC7D95" w:rsidRPr="0061764D" w14:paraId="651D61EC" w14:textId="77777777" w:rsidTr="00FC7D95">
        <w:trPr>
          <w:trHeight w:val="330"/>
        </w:trPr>
        <w:tc>
          <w:tcPr>
            <w:tcW w:w="1148" w:type="pct"/>
            <w:gridSpan w:val="3"/>
            <w:shd w:val="clear" w:color="auto" w:fill="FFFFFF" w:themeFill="background1"/>
            <w:vAlign w:val="center"/>
          </w:tcPr>
          <w:p w14:paraId="00F0FA57" w14:textId="5B2A059A"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budżet państwa – koszty wynagrodzeń pracownika CNŻ (0,5 etatu)</w:t>
            </w:r>
          </w:p>
        </w:tc>
        <w:tc>
          <w:tcPr>
            <w:tcW w:w="263" w:type="pct"/>
            <w:shd w:val="clear" w:color="auto" w:fill="FFFFFF" w:themeFill="background1"/>
          </w:tcPr>
          <w:p w14:paraId="37C08E1C" w14:textId="35AF452F"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30" w:type="pct"/>
            <w:shd w:val="clear" w:color="auto" w:fill="FFFFFF" w:themeFill="background1"/>
          </w:tcPr>
          <w:p w14:paraId="71188BFB" w14:textId="244FA9EB"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18,70</w:t>
            </w:r>
          </w:p>
        </w:tc>
        <w:tc>
          <w:tcPr>
            <w:tcW w:w="320" w:type="pct"/>
            <w:gridSpan w:val="2"/>
            <w:shd w:val="clear" w:color="auto" w:fill="FFFFFF" w:themeFill="background1"/>
          </w:tcPr>
          <w:p w14:paraId="55BF103F" w14:textId="476244FF"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19,35</w:t>
            </w:r>
          </w:p>
        </w:tc>
        <w:tc>
          <w:tcPr>
            <w:tcW w:w="381" w:type="pct"/>
            <w:gridSpan w:val="2"/>
            <w:shd w:val="clear" w:color="auto" w:fill="FFFFFF" w:themeFill="background1"/>
          </w:tcPr>
          <w:p w14:paraId="1DDF28AA" w14:textId="4DC85EF3"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19,93</w:t>
            </w:r>
          </w:p>
        </w:tc>
        <w:tc>
          <w:tcPr>
            <w:tcW w:w="287" w:type="pct"/>
            <w:gridSpan w:val="2"/>
            <w:shd w:val="clear" w:color="auto" w:fill="FFFFFF" w:themeFill="background1"/>
          </w:tcPr>
          <w:p w14:paraId="1527CB31" w14:textId="3CAF46EB"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20,51</w:t>
            </w:r>
          </w:p>
        </w:tc>
        <w:tc>
          <w:tcPr>
            <w:tcW w:w="314" w:type="pct"/>
            <w:shd w:val="clear" w:color="auto" w:fill="FFFFFF" w:themeFill="background1"/>
          </w:tcPr>
          <w:p w14:paraId="32AACA94" w14:textId="23B38791"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21,10</w:t>
            </w:r>
          </w:p>
        </w:tc>
        <w:tc>
          <w:tcPr>
            <w:tcW w:w="298" w:type="pct"/>
            <w:shd w:val="clear" w:color="auto" w:fill="FFFFFF" w:themeFill="background1"/>
          </w:tcPr>
          <w:p w14:paraId="5D2A56F2" w14:textId="6F8F2574"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21,72</w:t>
            </w:r>
          </w:p>
        </w:tc>
        <w:tc>
          <w:tcPr>
            <w:tcW w:w="322" w:type="pct"/>
            <w:shd w:val="clear" w:color="auto" w:fill="FFFFFF" w:themeFill="background1"/>
          </w:tcPr>
          <w:p w14:paraId="3C56712F" w14:textId="3FE9F496"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22,35</w:t>
            </w:r>
          </w:p>
        </w:tc>
        <w:tc>
          <w:tcPr>
            <w:tcW w:w="321" w:type="pct"/>
            <w:gridSpan w:val="2"/>
            <w:shd w:val="clear" w:color="auto" w:fill="FFFFFF" w:themeFill="background1"/>
          </w:tcPr>
          <w:p w14:paraId="5B40E7CC" w14:textId="6E9FEA05"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22,99</w:t>
            </w:r>
          </w:p>
        </w:tc>
        <w:tc>
          <w:tcPr>
            <w:tcW w:w="325" w:type="pct"/>
            <w:gridSpan w:val="2"/>
            <w:shd w:val="clear" w:color="auto" w:fill="FFFFFF" w:themeFill="background1"/>
          </w:tcPr>
          <w:p w14:paraId="64096123" w14:textId="5FB128B5"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23,64</w:t>
            </w:r>
          </w:p>
        </w:tc>
        <w:tc>
          <w:tcPr>
            <w:tcW w:w="320" w:type="pct"/>
            <w:shd w:val="clear" w:color="auto" w:fill="FFFFFF" w:themeFill="background1"/>
          </w:tcPr>
          <w:p w14:paraId="56E0685C" w14:textId="483E13CD"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24,30</w:t>
            </w:r>
          </w:p>
        </w:tc>
        <w:tc>
          <w:tcPr>
            <w:tcW w:w="372" w:type="pct"/>
            <w:shd w:val="clear" w:color="auto" w:fill="FFFFFF" w:themeFill="background1"/>
          </w:tcPr>
          <w:p w14:paraId="7A1079CB" w14:textId="5AEF188A" w:rsidR="00FC7D95" w:rsidRPr="00FC7D95" w:rsidRDefault="00FC7D95" w:rsidP="00FC7D95">
            <w:pPr>
              <w:spacing w:line="240" w:lineRule="auto"/>
              <w:rPr>
                <w:rFonts w:asciiTheme="minorHAnsi" w:hAnsiTheme="minorHAnsi" w:cstheme="minorHAnsi"/>
                <w:b/>
                <w:bCs/>
                <w:color w:val="000000"/>
                <w:sz w:val="14"/>
                <w:szCs w:val="14"/>
              </w:rPr>
            </w:pPr>
            <w:r w:rsidRPr="00FC7D95">
              <w:rPr>
                <w:rFonts w:asciiTheme="minorHAnsi" w:hAnsiTheme="minorHAnsi" w:cstheme="minorHAnsi"/>
                <w:b/>
                <w:bCs/>
                <w:color w:val="000000"/>
                <w:sz w:val="14"/>
                <w:szCs w:val="14"/>
              </w:rPr>
              <w:t>214,58</w:t>
            </w:r>
          </w:p>
        </w:tc>
      </w:tr>
      <w:tr w:rsidR="00FC7D95" w:rsidRPr="0061764D" w14:paraId="3B4B36E9" w14:textId="77777777" w:rsidTr="00FC7D95">
        <w:trPr>
          <w:trHeight w:val="351"/>
        </w:trPr>
        <w:tc>
          <w:tcPr>
            <w:tcW w:w="1148" w:type="pct"/>
            <w:gridSpan w:val="3"/>
            <w:shd w:val="clear" w:color="auto" w:fill="FFFFFF" w:themeFill="background1"/>
            <w:vAlign w:val="center"/>
          </w:tcPr>
          <w:p w14:paraId="332D013A" w14:textId="77777777"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JST</w:t>
            </w:r>
          </w:p>
        </w:tc>
        <w:tc>
          <w:tcPr>
            <w:tcW w:w="263" w:type="pct"/>
            <w:shd w:val="clear" w:color="auto" w:fill="FFFFFF" w:themeFill="background1"/>
          </w:tcPr>
          <w:p w14:paraId="2908EB2C" w14:textId="68DE1155"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30" w:type="pct"/>
            <w:shd w:val="clear" w:color="auto" w:fill="FFFFFF" w:themeFill="background1"/>
          </w:tcPr>
          <w:p w14:paraId="121FD38A" w14:textId="6DCECE7B"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20" w:type="pct"/>
            <w:gridSpan w:val="2"/>
            <w:shd w:val="clear" w:color="auto" w:fill="FFFFFF" w:themeFill="background1"/>
          </w:tcPr>
          <w:p w14:paraId="1FE2DD96" w14:textId="687D46D5"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81" w:type="pct"/>
            <w:gridSpan w:val="2"/>
            <w:shd w:val="clear" w:color="auto" w:fill="FFFFFF" w:themeFill="background1"/>
          </w:tcPr>
          <w:p w14:paraId="27357532" w14:textId="559D962B"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287" w:type="pct"/>
            <w:gridSpan w:val="2"/>
            <w:shd w:val="clear" w:color="auto" w:fill="FFFFFF" w:themeFill="background1"/>
          </w:tcPr>
          <w:p w14:paraId="07F023C8" w14:textId="3E2BC279"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14" w:type="pct"/>
            <w:shd w:val="clear" w:color="auto" w:fill="FFFFFF" w:themeFill="background1"/>
          </w:tcPr>
          <w:p w14:paraId="4BDB5498" w14:textId="75189F5F"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298" w:type="pct"/>
            <w:shd w:val="clear" w:color="auto" w:fill="FFFFFF" w:themeFill="background1"/>
          </w:tcPr>
          <w:p w14:paraId="2916C19D" w14:textId="5D498D58"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22" w:type="pct"/>
            <w:shd w:val="clear" w:color="auto" w:fill="FFFFFF" w:themeFill="background1"/>
          </w:tcPr>
          <w:p w14:paraId="74869460" w14:textId="14ECAED6"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21" w:type="pct"/>
            <w:gridSpan w:val="2"/>
            <w:shd w:val="clear" w:color="auto" w:fill="FFFFFF" w:themeFill="background1"/>
          </w:tcPr>
          <w:p w14:paraId="187F57B8" w14:textId="4D3FE824"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25" w:type="pct"/>
            <w:gridSpan w:val="2"/>
            <w:shd w:val="clear" w:color="auto" w:fill="FFFFFF" w:themeFill="background1"/>
          </w:tcPr>
          <w:p w14:paraId="54738AF4" w14:textId="1B93598C"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20" w:type="pct"/>
            <w:shd w:val="clear" w:color="auto" w:fill="FFFFFF" w:themeFill="background1"/>
          </w:tcPr>
          <w:p w14:paraId="46ABBD8F" w14:textId="082F95DD"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72" w:type="pct"/>
            <w:shd w:val="clear" w:color="auto" w:fill="FFFFFF" w:themeFill="background1"/>
          </w:tcPr>
          <w:p w14:paraId="06BBA33E" w14:textId="1AA8E943"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r>
      <w:tr w:rsidR="00FC7D95" w:rsidRPr="0061764D" w14:paraId="49FC962D" w14:textId="77777777" w:rsidTr="00FC7D95">
        <w:trPr>
          <w:trHeight w:val="351"/>
        </w:trPr>
        <w:tc>
          <w:tcPr>
            <w:tcW w:w="1148" w:type="pct"/>
            <w:gridSpan w:val="3"/>
            <w:shd w:val="clear" w:color="auto" w:fill="FFFFFF" w:themeFill="background1"/>
            <w:vAlign w:val="center"/>
          </w:tcPr>
          <w:p w14:paraId="5819C4A2" w14:textId="77777777"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pozostałe jednostki (oddzielnie)</w:t>
            </w:r>
          </w:p>
        </w:tc>
        <w:tc>
          <w:tcPr>
            <w:tcW w:w="263" w:type="pct"/>
            <w:shd w:val="clear" w:color="auto" w:fill="FFFFFF" w:themeFill="background1"/>
          </w:tcPr>
          <w:p w14:paraId="464FCBC1" w14:textId="2A4BD5C7"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30" w:type="pct"/>
            <w:shd w:val="clear" w:color="auto" w:fill="FFFFFF" w:themeFill="background1"/>
          </w:tcPr>
          <w:p w14:paraId="5C8C6B09" w14:textId="31D43B39"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20" w:type="pct"/>
            <w:gridSpan w:val="2"/>
            <w:shd w:val="clear" w:color="auto" w:fill="FFFFFF" w:themeFill="background1"/>
          </w:tcPr>
          <w:p w14:paraId="3382A365" w14:textId="29134E32"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81" w:type="pct"/>
            <w:gridSpan w:val="2"/>
            <w:shd w:val="clear" w:color="auto" w:fill="FFFFFF" w:themeFill="background1"/>
          </w:tcPr>
          <w:p w14:paraId="5C71F136" w14:textId="1996C079"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287" w:type="pct"/>
            <w:gridSpan w:val="2"/>
            <w:shd w:val="clear" w:color="auto" w:fill="FFFFFF" w:themeFill="background1"/>
          </w:tcPr>
          <w:p w14:paraId="62199465" w14:textId="2FD0823C"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14" w:type="pct"/>
            <w:shd w:val="clear" w:color="auto" w:fill="FFFFFF" w:themeFill="background1"/>
          </w:tcPr>
          <w:p w14:paraId="0DA123B1" w14:textId="4CA6F2C0"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298" w:type="pct"/>
            <w:shd w:val="clear" w:color="auto" w:fill="FFFFFF" w:themeFill="background1"/>
          </w:tcPr>
          <w:p w14:paraId="4C4CEA3D" w14:textId="69C05C48"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22" w:type="pct"/>
            <w:shd w:val="clear" w:color="auto" w:fill="FFFFFF" w:themeFill="background1"/>
          </w:tcPr>
          <w:p w14:paraId="50895670" w14:textId="56FBF2FA"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21" w:type="pct"/>
            <w:gridSpan w:val="2"/>
            <w:shd w:val="clear" w:color="auto" w:fill="FFFFFF" w:themeFill="background1"/>
          </w:tcPr>
          <w:p w14:paraId="38C1F859" w14:textId="27B97FBA"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25" w:type="pct"/>
            <w:gridSpan w:val="2"/>
            <w:shd w:val="clear" w:color="auto" w:fill="FFFFFF" w:themeFill="background1"/>
          </w:tcPr>
          <w:p w14:paraId="0C8FE7CE" w14:textId="7EDF165D"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20" w:type="pct"/>
            <w:shd w:val="clear" w:color="auto" w:fill="FFFFFF" w:themeFill="background1"/>
          </w:tcPr>
          <w:p w14:paraId="41004F19" w14:textId="2494E2E1"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72" w:type="pct"/>
            <w:shd w:val="clear" w:color="auto" w:fill="FFFFFF" w:themeFill="background1"/>
          </w:tcPr>
          <w:p w14:paraId="67C0C651" w14:textId="5D095CD2"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r>
      <w:tr w:rsidR="00FC7D95" w:rsidRPr="008B4FE6" w14:paraId="4538F780" w14:textId="77777777" w:rsidTr="00FC7D95">
        <w:trPr>
          <w:trHeight w:val="360"/>
        </w:trPr>
        <w:tc>
          <w:tcPr>
            <w:tcW w:w="1148" w:type="pct"/>
            <w:gridSpan w:val="3"/>
            <w:shd w:val="clear" w:color="auto" w:fill="FFFFFF" w:themeFill="background1"/>
            <w:vAlign w:val="center"/>
          </w:tcPr>
          <w:p w14:paraId="12E54C44" w14:textId="77777777"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b/>
                <w:color w:val="000000"/>
                <w:sz w:val="14"/>
                <w:szCs w:val="14"/>
              </w:rPr>
              <w:t>Saldo ogółem</w:t>
            </w:r>
          </w:p>
        </w:tc>
        <w:tc>
          <w:tcPr>
            <w:tcW w:w="263" w:type="pct"/>
            <w:shd w:val="clear" w:color="auto" w:fill="FFFFFF" w:themeFill="background1"/>
          </w:tcPr>
          <w:p w14:paraId="308D56CC" w14:textId="7304FE5D" w:rsidR="00FC7D95" w:rsidRPr="00FC7D95" w:rsidRDefault="00FC7D95" w:rsidP="00FC7D95">
            <w:pPr>
              <w:spacing w:line="240" w:lineRule="auto"/>
              <w:rPr>
                <w:rFonts w:asciiTheme="minorHAnsi" w:hAnsiTheme="minorHAnsi" w:cstheme="minorHAnsi"/>
                <w:b/>
                <w:bCs/>
                <w:color w:val="000000"/>
                <w:sz w:val="14"/>
                <w:szCs w:val="14"/>
              </w:rPr>
            </w:pPr>
            <w:r w:rsidRPr="00FC7D95">
              <w:rPr>
                <w:rFonts w:asciiTheme="minorHAnsi" w:hAnsiTheme="minorHAnsi" w:cstheme="minorHAnsi"/>
                <w:b/>
                <w:bCs/>
                <w:color w:val="000000"/>
                <w:sz w:val="14"/>
                <w:szCs w:val="14"/>
              </w:rPr>
              <w:t>0,00</w:t>
            </w:r>
          </w:p>
        </w:tc>
        <w:tc>
          <w:tcPr>
            <w:tcW w:w="330" w:type="pct"/>
            <w:shd w:val="clear" w:color="auto" w:fill="FFFFFF" w:themeFill="background1"/>
          </w:tcPr>
          <w:p w14:paraId="797E50C6" w14:textId="34634307" w:rsidR="00FC7D95" w:rsidRPr="00FC7D95" w:rsidRDefault="00FC7D95" w:rsidP="00FC7D95">
            <w:pPr>
              <w:spacing w:line="240" w:lineRule="auto"/>
              <w:rPr>
                <w:rFonts w:asciiTheme="minorHAnsi" w:hAnsiTheme="minorHAnsi" w:cstheme="minorHAnsi"/>
                <w:b/>
                <w:bCs/>
                <w:color w:val="000000"/>
                <w:sz w:val="14"/>
                <w:szCs w:val="14"/>
              </w:rPr>
            </w:pPr>
            <w:r w:rsidRPr="00FC7D95">
              <w:rPr>
                <w:rFonts w:asciiTheme="minorHAnsi" w:hAnsiTheme="minorHAnsi" w:cstheme="minorHAnsi"/>
                <w:b/>
                <w:bCs/>
                <w:sz w:val="14"/>
                <w:szCs w:val="14"/>
              </w:rPr>
              <w:t>1 203,01</w:t>
            </w:r>
          </w:p>
        </w:tc>
        <w:tc>
          <w:tcPr>
            <w:tcW w:w="320" w:type="pct"/>
            <w:gridSpan w:val="2"/>
            <w:shd w:val="clear" w:color="auto" w:fill="FFFFFF" w:themeFill="background1"/>
          </w:tcPr>
          <w:p w14:paraId="7B04FA47" w14:textId="67C0DE1D" w:rsidR="00FC7D95" w:rsidRPr="00FC7D95" w:rsidRDefault="00FC7D95" w:rsidP="00FC7D95">
            <w:pPr>
              <w:spacing w:line="240" w:lineRule="auto"/>
              <w:rPr>
                <w:rFonts w:asciiTheme="minorHAnsi" w:hAnsiTheme="minorHAnsi" w:cstheme="minorHAnsi"/>
                <w:b/>
                <w:bCs/>
                <w:color w:val="000000"/>
                <w:sz w:val="14"/>
                <w:szCs w:val="14"/>
              </w:rPr>
            </w:pPr>
            <w:r w:rsidRPr="00FC7D95">
              <w:rPr>
                <w:rFonts w:asciiTheme="minorHAnsi" w:hAnsiTheme="minorHAnsi" w:cstheme="minorHAnsi"/>
                <w:b/>
                <w:bCs/>
                <w:sz w:val="14"/>
                <w:szCs w:val="14"/>
              </w:rPr>
              <w:t>1 209,06</w:t>
            </w:r>
          </w:p>
        </w:tc>
        <w:tc>
          <w:tcPr>
            <w:tcW w:w="381" w:type="pct"/>
            <w:gridSpan w:val="2"/>
            <w:shd w:val="clear" w:color="auto" w:fill="FFFFFF" w:themeFill="background1"/>
          </w:tcPr>
          <w:p w14:paraId="568C698B" w14:textId="7F397192" w:rsidR="00FC7D95" w:rsidRPr="00FC7D95" w:rsidRDefault="00FC7D95" w:rsidP="00FC7D95">
            <w:pPr>
              <w:spacing w:line="240" w:lineRule="auto"/>
              <w:rPr>
                <w:rFonts w:asciiTheme="minorHAnsi" w:hAnsiTheme="minorHAnsi" w:cstheme="minorHAnsi"/>
                <w:b/>
                <w:bCs/>
                <w:color w:val="000000"/>
                <w:sz w:val="14"/>
                <w:szCs w:val="14"/>
              </w:rPr>
            </w:pPr>
            <w:r w:rsidRPr="00FC7D95">
              <w:rPr>
                <w:rFonts w:asciiTheme="minorHAnsi" w:hAnsiTheme="minorHAnsi" w:cstheme="minorHAnsi"/>
                <w:b/>
                <w:bCs/>
                <w:sz w:val="14"/>
                <w:szCs w:val="14"/>
              </w:rPr>
              <w:t>1 059, 67</w:t>
            </w:r>
          </w:p>
        </w:tc>
        <w:tc>
          <w:tcPr>
            <w:tcW w:w="287" w:type="pct"/>
            <w:gridSpan w:val="2"/>
            <w:shd w:val="clear" w:color="auto" w:fill="FFFFFF" w:themeFill="background1"/>
          </w:tcPr>
          <w:p w14:paraId="1A939487" w14:textId="3FBA11C1" w:rsidR="00FC7D95" w:rsidRPr="00FC7D95" w:rsidRDefault="00FC7D95" w:rsidP="00FC7D95">
            <w:pPr>
              <w:spacing w:line="240" w:lineRule="auto"/>
              <w:rPr>
                <w:rFonts w:asciiTheme="minorHAnsi" w:hAnsiTheme="minorHAnsi" w:cstheme="minorHAnsi"/>
                <w:b/>
                <w:bCs/>
                <w:color w:val="000000"/>
                <w:sz w:val="14"/>
                <w:szCs w:val="14"/>
              </w:rPr>
            </w:pPr>
            <w:r w:rsidRPr="00FC7D95">
              <w:rPr>
                <w:rFonts w:asciiTheme="minorHAnsi" w:hAnsiTheme="minorHAnsi" w:cstheme="minorHAnsi"/>
                <w:b/>
                <w:bCs/>
                <w:sz w:val="14"/>
                <w:szCs w:val="14"/>
              </w:rPr>
              <w:t>937,56</w:t>
            </w:r>
          </w:p>
        </w:tc>
        <w:tc>
          <w:tcPr>
            <w:tcW w:w="314" w:type="pct"/>
            <w:shd w:val="clear" w:color="auto" w:fill="FFFFFF" w:themeFill="background1"/>
          </w:tcPr>
          <w:p w14:paraId="6AA258D8" w14:textId="41C1FD83" w:rsidR="00FC7D95" w:rsidRPr="00FC7D95" w:rsidRDefault="00FC7D95" w:rsidP="00FC7D95">
            <w:pPr>
              <w:spacing w:line="240" w:lineRule="auto"/>
              <w:rPr>
                <w:rFonts w:asciiTheme="minorHAnsi" w:hAnsiTheme="minorHAnsi" w:cstheme="minorHAnsi"/>
                <w:b/>
                <w:bCs/>
                <w:color w:val="000000"/>
                <w:sz w:val="14"/>
                <w:szCs w:val="14"/>
              </w:rPr>
            </w:pPr>
            <w:r w:rsidRPr="00FC7D95">
              <w:rPr>
                <w:rFonts w:asciiTheme="minorHAnsi" w:hAnsiTheme="minorHAnsi" w:cstheme="minorHAnsi"/>
                <w:b/>
                <w:bCs/>
                <w:sz w:val="14"/>
                <w:szCs w:val="14"/>
              </w:rPr>
              <w:t>492,92</w:t>
            </w:r>
          </w:p>
        </w:tc>
        <w:tc>
          <w:tcPr>
            <w:tcW w:w="298" w:type="pct"/>
            <w:shd w:val="clear" w:color="auto" w:fill="FFFFFF" w:themeFill="background1"/>
          </w:tcPr>
          <w:p w14:paraId="6FFBD3EC" w14:textId="65D9EF65" w:rsidR="00FC7D95" w:rsidRPr="00FC7D95" w:rsidRDefault="00FC7D95" w:rsidP="00FC7D95">
            <w:pPr>
              <w:spacing w:line="240" w:lineRule="auto"/>
              <w:rPr>
                <w:rFonts w:asciiTheme="minorHAnsi" w:hAnsiTheme="minorHAnsi" w:cstheme="minorHAnsi"/>
                <w:b/>
                <w:bCs/>
                <w:color w:val="000000"/>
                <w:sz w:val="14"/>
                <w:szCs w:val="14"/>
              </w:rPr>
            </w:pPr>
            <w:r w:rsidRPr="00FC7D95">
              <w:rPr>
                <w:rFonts w:asciiTheme="minorHAnsi" w:hAnsiTheme="minorHAnsi" w:cstheme="minorHAnsi"/>
                <w:b/>
                <w:bCs/>
                <w:sz w:val="14"/>
                <w:szCs w:val="14"/>
              </w:rPr>
              <w:t>507,22</w:t>
            </w:r>
          </w:p>
        </w:tc>
        <w:tc>
          <w:tcPr>
            <w:tcW w:w="322" w:type="pct"/>
            <w:shd w:val="clear" w:color="auto" w:fill="FFFFFF" w:themeFill="background1"/>
          </w:tcPr>
          <w:p w14:paraId="30DCCCAD" w14:textId="4F1A4E57" w:rsidR="00FC7D95" w:rsidRPr="00FC7D95" w:rsidRDefault="00FC7D95" w:rsidP="00FC7D95">
            <w:pPr>
              <w:spacing w:line="240" w:lineRule="auto"/>
              <w:rPr>
                <w:rFonts w:asciiTheme="minorHAnsi" w:hAnsiTheme="minorHAnsi" w:cstheme="minorHAnsi"/>
                <w:b/>
                <w:bCs/>
                <w:color w:val="000000"/>
                <w:sz w:val="14"/>
                <w:szCs w:val="14"/>
              </w:rPr>
            </w:pPr>
            <w:r w:rsidRPr="00FC7D95">
              <w:rPr>
                <w:rFonts w:asciiTheme="minorHAnsi" w:hAnsiTheme="minorHAnsi" w:cstheme="minorHAnsi"/>
                <w:b/>
                <w:bCs/>
                <w:sz w:val="14"/>
                <w:szCs w:val="14"/>
              </w:rPr>
              <w:t>521,93</w:t>
            </w:r>
          </w:p>
        </w:tc>
        <w:tc>
          <w:tcPr>
            <w:tcW w:w="321" w:type="pct"/>
            <w:gridSpan w:val="2"/>
            <w:shd w:val="clear" w:color="auto" w:fill="FFFFFF" w:themeFill="background1"/>
          </w:tcPr>
          <w:p w14:paraId="36AF6883" w14:textId="02AE7086" w:rsidR="00FC7D95" w:rsidRPr="00FC7D95" w:rsidRDefault="00FC7D95" w:rsidP="00FC7D95">
            <w:pPr>
              <w:spacing w:line="240" w:lineRule="auto"/>
              <w:rPr>
                <w:rFonts w:asciiTheme="minorHAnsi" w:hAnsiTheme="minorHAnsi" w:cstheme="minorHAnsi"/>
                <w:b/>
                <w:bCs/>
                <w:color w:val="000000"/>
                <w:sz w:val="14"/>
                <w:szCs w:val="14"/>
              </w:rPr>
            </w:pPr>
            <w:r w:rsidRPr="00FC7D95">
              <w:rPr>
                <w:rFonts w:asciiTheme="minorHAnsi" w:hAnsiTheme="minorHAnsi" w:cstheme="minorHAnsi"/>
                <w:b/>
                <w:bCs/>
                <w:sz w:val="14"/>
                <w:szCs w:val="14"/>
              </w:rPr>
              <w:t>537,07</w:t>
            </w:r>
          </w:p>
        </w:tc>
        <w:tc>
          <w:tcPr>
            <w:tcW w:w="325" w:type="pct"/>
            <w:gridSpan w:val="2"/>
            <w:shd w:val="clear" w:color="auto" w:fill="FFFFFF" w:themeFill="background1"/>
          </w:tcPr>
          <w:p w14:paraId="54C529ED" w14:textId="4717EACB" w:rsidR="00FC7D95" w:rsidRPr="00FC7D95" w:rsidRDefault="00FC7D95" w:rsidP="00FC7D95">
            <w:pPr>
              <w:spacing w:line="240" w:lineRule="auto"/>
              <w:rPr>
                <w:rFonts w:asciiTheme="minorHAnsi" w:hAnsiTheme="minorHAnsi" w:cstheme="minorHAnsi"/>
                <w:b/>
                <w:bCs/>
                <w:color w:val="000000"/>
                <w:sz w:val="14"/>
                <w:szCs w:val="14"/>
              </w:rPr>
            </w:pPr>
            <w:r w:rsidRPr="00FC7D95">
              <w:rPr>
                <w:rFonts w:asciiTheme="minorHAnsi" w:hAnsiTheme="minorHAnsi" w:cstheme="minorHAnsi"/>
                <w:b/>
                <w:bCs/>
                <w:sz w:val="14"/>
                <w:szCs w:val="14"/>
              </w:rPr>
              <w:t>552,10</w:t>
            </w:r>
          </w:p>
        </w:tc>
        <w:tc>
          <w:tcPr>
            <w:tcW w:w="320" w:type="pct"/>
            <w:shd w:val="clear" w:color="auto" w:fill="FFFFFF" w:themeFill="background1"/>
          </w:tcPr>
          <w:p w14:paraId="1C0157D6" w14:textId="7420E87E" w:rsidR="00FC7D95" w:rsidRPr="00FC7D95" w:rsidRDefault="00FC7D95" w:rsidP="00FC7D95">
            <w:pPr>
              <w:spacing w:line="240" w:lineRule="auto"/>
              <w:rPr>
                <w:rFonts w:asciiTheme="minorHAnsi" w:hAnsiTheme="minorHAnsi" w:cstheme="minorHAnsi"/>
                <w:b/>
                <w:bCs/>
                <w:color w:val="000000"/>
                <w:sz w:val="14"/>
                <w:szCs w:val="14"/>
              </w:rPr>
            </w:pPr>
            <w:r w:rsidRPr="00FC7D95">
              <w:rPr>
                <w:rFonts w:asciiTheme="minorHAnsi" w:hAnsiTheme="minorHAnsi" w:cstheme="minorHAnsi"/>
                <w:b/>
                <w:bCs/>
                <w:sz w:val="14"/>
                <w:szCs w:val="14"/>
              </w:rPr>
              <w:t>567,56</w:t>
            </w:r>
          </w:p>
        </w:tc>
        <w:tc>
          <w:tcPr>
            <w:tcW w:w="372" w:type="pct"/>
            <w:shd w:val="clear" w:color="auto" w:fill="FFFFFF" w:themeFill="background1"/>
          </w:tcPr>
          <w:p w14:paraId="3691E7B2" w14:textId="3EBED66F" w:rsidR="00FC7D95" w:rsidRPr="00FC7D95" w:rsidRDefault="00FC7D95" w:rsidP="00FC7D95">
            <w:pPr>
              <w:spacing w:line="240" w:lineRule="auto"/>
              <w:rPr>
                <w:rFonts w:asciiTheme="minorHAnsi" w:hAnsiTheme="minorHAnsi" w:cstheme="minorHAnsi"/>
                <w:b/>
                <w:bCs/>
                <w:color w:val="000000"/>
                <w:sz w:val="14"/>
                <w:szCs w:val="14"/>
              </w:rPr>
            </w:pPr>
            <w:r w:rsidRPr="00FC7D95">
              <w:rPr>
                <w:rFonts w:asciiTheme="minorHAnsi" w:hAnsiTheme="minorHAnsi" w:cstheme="minorHAnsi"/>
                <w:b/>
                <w:bCs/>
                <w:sz w:val="14"/>
                <w:szCs w:val="14"/>
              </w:rPr>
              <w:t>7 588,11</w:t>
            </w:r>
          </w:p>
        </w:tc>
      </w:tr>
      <w:tr w:rsidR="00FC7D95" w:rsidRPr="008B4FE6" w14:paraId="4240E634" w14:textId="77777777" w:rsidTr="00FC7D95">
        <w:trPr>
          <w:trHeight w:val="360"/>
        </w:trPr>
        <w:tc>
          <w:tcPr>
            <w:tcW w:w="1148" w:type="pct"/>
            <w:gridSpan w:val="3"/>
            <w:shd w:val="clear" w:color="auto" w:fill="FFFFFF" w:themeFill="background1"/>
            <w:vAlign w:val="center"/>
          </w:tcPr>
          <w:p w14:paraId="70724A7F" w14:textId="77777777"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budżet państwa</w:t>
            </w:r>
          </w:p>
          <w:p w14:paraId="5A1203AC" w14:textId="4CFE3E94"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koszty wynagrodzeń asystentów prawnych i pełnomocników wspierających</w:t>
            </w:r>
          </w:p>
        </w:tc>
        <w:tc>
          <w:tcPr>
            <w:tcW w:w="263" w:type="pct"/>
            <w:shd w:val="clear" w:color="auto" w:fill="FFFFFF" w:themeFill="background1"/>
          </w:tcPr>
          <w:p w14:paraId="526770CE" w14:textId="604B757B"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30" w:type="pct"/>
            <w:shd w:val="clear" w:color="auto" w:fill="FFFFFF" w:themeFill="background1"/>
          </w:tcPr>
          <w:p w14:paraId="7CBEED82" w14:textId="27AEC74D"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sz w:val="14"/>
                <w:szCs w:val="14"/>
              </w:rPr>
              <w:t>383,16</w:t>
            </w:r>
          </w:p>
        </w:tc>
        <w:tc>
          <w:tcPr>
            <w:tcW w:w="320" w:type="pct"/>
            <w:gridSpan w:val="2"/>
            <w:shd w:val="clear" w:color="auto" w:fill="FFFFFF" w:themeFill="background1"/>
          </w:tcPr>
          <w:p w14:paraId="6E36661F" w14:textId="39DCAA62"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sz w:val="14"/>
                <w:szCs w:val="14"/>
              </w:rPr>
              <w:t>432,62</w:t>
            </w:r>
          </w:p>
        </w:tc>
        <w:tc>
          <w:tcPr>
            <w:tcW w:w="381" w:type="pct"/>
            <w:gridSpan w:val="2"/>
            <w:shd w:val="clear" w:color="auto" w:fill="FFFFFF" w:themeFill="background1"/>
          </w:tcPr>
          <w:p w14:paraId="38645DC7" w14:textId="3979F13D"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sz w:val="14"/>
                <w:szCs w:val="14"/>
              </w:rPr>
              <w:t>482,74</w:t>
            </w:r>
          </w:p>
        </w:tc>
        <w:tc>
          <w:tcPr>
            <w:tcW w:w="287" w:type="pct"/>
            <w:gridSpan w:val="2"/>
            <w:shd w:val="clear" w:color="auto" w:fill="FFFFFF" w:themeFill="background1"/>
          </w:tcPr>
          <w:p w14:paraId="135E58C4" w14:textId="2C2A1385"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sz w:val="14"/>
                <w:szCs w:val="14"/>
              </w:rPr>
              <w:t>534,95</w:t>
            </w:r>
          </w:p>
        </w:tc>
        <w:tc>
          <w:tcPr>
            <w:tcW w:w="314" w:type="pct"/>
            <w:shd w:val="clear" w:color="auto" w:fill="FFFFFF" w:themeFill="background1"/>
          </w:tcPr>
          <w:p w14:paraId="62EBF9A1" w14:textId="3A010E24"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sz w:val="14"/>
                <w:szCs w:val="14"/>
              </w:rPr>
              <w:t>275,23</w:t>
            </w:r>
          </w:p>
        </w:tc>
        <w:tc>
          <w:tcPr>
            <w:tcW w:w="298" w:type="pct"/>
            <w:shd w:val="clear" w:color="auto" w:fill="FFFFFF" w:themeFill="background1"/>
          </w:tcPr>
          <w:p w14:paraId="0C6C2CD5" w14:textId="682EE410"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sz w:val="14"/>
                <w:szCs w:val="14"/>
              </w:rPr>
              <w:t>283,21</w:t>
            </w:r>
          </w:p>
        </w:tc>
        <w:tc>
          <w:tcPr>
            <w:tcW w:w="322" w:type="pct"/>
            <w:shd w:val="clear" w:color="auto" w:fill="FFFFFF" w:themeFill="background1"/>
          </w:tcPr>
          <w:p w14:paraId="709E88E4" w14:textId="3ACFB819"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sz w:val="14"/>
                <w:szCs w:val="14"/>
              </w:rPr>
              <w:t>291,42</w:t>
            </w:r>
          </w:p>
        </w:tc>
        <w:tc>
          <w:tcPr>
            <w:tcW w:w="321" w:type="pct"/>
            <w:gridSpan w:val="2"/>
            <w:shd w:val="clear" w:color="auto" w:fill="FFFFFF" w:themeFill="background1"/>
          </w:tcPr>
          <w:p w14:paraId="508C98E9" w14:textId="368EA138"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sz w:val="14"/>
                <w:szCs w:val="14"/>
              </w:rPr>
              <w:t>299,88</w:t>
            </w:r>
          </w:p>
        </w:tc>
        <w:tc>
          <w:tcPr>
            <w:tcW w:w="325" w:type="pct"/>
            <w:gridSpan w:val="2"/>
            <w:shd w:val="clear" w:color="auto" w:fill="FFFFFF" w:themeFill="background1"/>
          </w:tcPr>
          <w:p w14:paraId="779F8E76" w14:textId="57ED6D5F"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sz w:val="14"/>
                <w:szCs w:val="14"/>
              </w:rPr>
              <w:t>308,27</w:t>
            </w:r>
          </w:p>
        </w:tc>
        <w:tc>
          <w:tcPr>
            <w:tcW w:w="320" w:type="pct"/>
            <w:shd w:val="clear" w:color="auto" w:fill="FFFFFF" w:themeFill="background1"/>
          </w:tcPr>
          <w:p w14:paraId="7818863E" w14:textId="1EA026CD"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sz w:val="14"/>
                <w:szCs w:val="14"/>
              </w:rPr>
              <w:t>316,90</w:t>
            </w:r>
          </w:p>
        </w:tc>
        <w:tc>
          <w:tcPr>
            <w:tcW w:w="372" w:type="pct"/>
            <w:shd w:val="clear" w:color="auto" w:fill="FFFFFF" w:themeFill="background1"/>
          </w:tcPr>
          <w:p w14:paraId="44F69B9A" w14:textId="1084CFD8" w:rsidR="00FC7D95" w:rsidRPr="00FC7D95" w:rsidRDefault="00FC7D95" w:rsidP="00FC7D95">
            <w:pPr>
              <w:spacing w:line="240" w:lineRule="auto"/>
              <w:rPr>
                <w:rFonts w:asciiTheme="minorHAnsi" w:hAnsiTheme="minorHAnsi" w:cstheme="minorHAnsi"/>
                <w:b/>
                <w:bCs/>
                <w:color w:val="000000"/>
                <w:sz w:val="14"/>
                <w:szCs w:val="14"/>
              </w:rPr>
            </w:pPr>
            <w:r w:rsidRPr="00FC7D95">
              <w:rPr>
                <w:rFonts w:asciiTheme="minorHAnsi" w:hAnsiTheme="minorHAnsi" w:cstheme="minorHAnsi"/>
                <w:b/>
                <w:bCs/>
                <w:sz w:val="14"/>
                <w:szCs w:val="14"/>
              </w:rPr>
              <w:t>3 608,38</w:t>
            </w:r>
          </w:p>
        </w:tc>
      </w:tr>
      <w:tr w:rsidR="00FC7D95" w:rsidRPr="008B4FE6" w14:paraId="43FA7178" w14:textId="77777777" w:rsidTr="00FC7D95">
        <w:trPr>
          <w:trHeight w:val="360"/>
        </w:trPr>
        <w:tc>
          <w:tcPr>
            <w:tcW w:w="1148" w:type="pct"/>
            <w:gridSpan w:val="3"/>
            <w:shd w:val="clear" w:color="auto" w:fill="FFFFFF" w:themeFill="background1"/>
            <w:vAlign w:val="center"/>
          </w:tcPr>
          <w:p w14:paraId="15C22170" w14:textId="77777777"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budżet państwa</w:t>
            </w:r>
          </w:p>
          <w:p w14:paraId="27A64675" w14:textId="18B609AA"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koszty wynagrodzeń pełnomocników wspierających</w:t>
            </w:r>
          </w:p>
        </w:tc>
        <w:tc>
          <w:tcPr>
            <w:tcW w:w="263" w:type="pct"/>
            <w:shd w:val="clear" w:color="auto" w:fill="FFFFFF" w:themeFill="background1"/>
          </w:tcPr>
          <w:p w14:paraId="30E9AF73" w14:textId="7CC6DC61"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30" w:type="pct"/>
            <w:shd w:val="clear" w:color="auto" w:fill="FFFFFF" w:themeFill="background1"/>
          </w:tcPr>
          <w:p w14:paraId="0FFCAA6B" w14:textId="23FE74C2"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sz w:val="14"/>
                <w:szCs w:val="14"/>
              </w:rPr>
              <w:t>801,15</w:t>
            </w:r>
          </w:p>
        </w:tc>
        <w:tc>
          <w:tcPr>
            <w:tcW w:w="320" w:type="pct"/>
            <w:gridSpan w:val="2"/>
            <w:shd w:val="clear" w:color="auto" w:fill="FFFFFF" w:themeFill="background1"/>
          </w:tcPr>
          <w:p w14:paraId="6B2283F7" w14:textId="59FD054C"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sz w:val="14"/>
                <w:szCs w:val="14"/>
              </w:rPr>
              <w:t>757,09</w:t>
            </w:r>
          </w:p>
        </w:tc>
        <w:tc>
          <w:tcPr>
            <w:tcW w:w="381" w:type="pct"/>
            <w:gridSpan w:val="2"/>
            <w:shd w:val="clear" w:color="auto" w:fill="FFFFFF" w:themeFill="background1"/>
          </w:tcPr>
          <w:p w14:paraId="262D844E" w14:textId="3F92B290"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sz w:val="14"/>
                <w:szCs w:val="14"/>
              </w:rPr>
              <w:t>557,00</w:t>
            </w:r>
          </w:p>
        </w:tc>
        <w:tc>
          <w:tcPr>
            <w:tcW w:w="287" w:type="pct"/>
            <w:gridSpan w:val="2"/>
            <w:shd w:val="clear" w:color="auto" w:fill="FFFFFF" w:themeFill="background1"/>
          </w:tcPr>
          <w:p w14:paraId="3B397BA1" w14:textId="1AB3C87F"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sz w:val="14"/>
                <w:szCs w:val="14"/>
              </w:rPr>
              <w:t>382,10</w:t>
            </w:r>
          </w:p>
        </w:tc>
        <w:tc>
          <w:tcPr>
            <w:tcW w:w="314" w:type="pct"/>
            <w:shd w:val="clear" w:color="auto" w:fill="FFFFFF" w:themeFill="background1"/>
          </w:tcPr>
          <w:p w14:paraId="27489A6B" w14:textId="14E153D9"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sz w:val="14"/>
                <w:szCs w:val="14"/>
              </w:rPr>
              <w:t>196,59</w:t>
            </w:r>
          </w:p>
        </w:tc>
        <w:tc>
          <w:tcPr>
            <w:tcW w:w="298" w:type="pct"/>
            <w:shd w:val="clear" w:color="auto" w:fill="FFFFFF" w:themeFill="background1"/>
          </w:tcPr>
          <w:p w14:paraId="2758C6ED" w14:textId="5F7F8EEB"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sz w:val="14"/>
                <w:szCs w:val="14"/>
              </w:rPr>
              <w:t>202,29</w:t>
            </w:r>
          </w:p>
        </w:tc>
        <w:tc>
          <w:tcPr>
            <w:tcW w:w="322" w:type="pct"/>
            <w:shd w:val="clear" w:color="auto" w:fill="FFFFFF" w:themeFill="background1"/>
          </w:tcPr>
          <w:p w14:paraId="13D43397" w14:textId="3918BCC1"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sz w:val="14"/>
                <w:szCs w:val="14"/>
              </w:rPr>
              <w:t>208,16</w:t>
            </w:r>
          </w:p>
        </w:tc>
        <w:tc>
          <w:tcPr>
            <w:tcW w:w="321" w:type="pct"/>
            <w:gridSpan w:val="2"/>
            <w:shd w:val="clear" w:color="auto" w:fill="FFFFFF" w:themeFill="background1"/>
          </w:tcPr>
          <w:p w14:paraId="4ECBD1E4" w14:textId="0497B490"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sz w:val="14"/>
                <w:szCs w:val="14"/>
              </w:rPr>
              <w:t>214,20</w:t>
            </w:r>
          </w:p>
        </w:tc>
        <w:tc>
          <w:tcPr>
            <w:tcW w:w="325" w:type="pct"/>
            <w:gridSpan w:val="2"/>
            <w:shd w:val="clear" w:color="auto" w:fill="FFFFFF" w:themeFill="background1"/>
          </w:tcPr>
          <w:p w14:paraId="7C3FEDD8" w14:textId="73BBFAF7"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sz w:val="14"/>
                <w:szCs w:val="14"/>
              </w:rPr>
              <w:t>220,19</w:t>
            </w:r>
          </w:p>
        </w:tc>
        <w:tc>
          <w:tcPr>
            <w:tcW w:w="320" w:type="pct"/>
            <w:shd w:val="clear" w:color="auto" w:fill="FFFFFF" w:themeFill="background1"/>
          </w:tcPr>
          <w:p w14:paraId="3B946564" w14:textId="155E7EEB"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sz w:val="14"/>
                <w:szCs w:val="14"/>
              </w:rPr>
              <w:t>226,36</w:t>
            </w:r>
          </w:p>
        </w:tc>
        <w:tc>
          <w:tcPr>
            <w:tcW w:w="372" w:type="pct"/>
            <w:shd w:val="clear" w:color="auto" w:fill="FFFFFF" w:themeFill="background1"/>
          </w:tcPr>
          <w:p w14:paraId="470272C9" w14:textId="2645D276" w:rsidR="00FC7D95" w:rsidRPr="00FC7D95" w:rsidRDefault="00FC7D95" w:rsidP="00FC7D95">
            <w:pPr>
              <w:spacing w:line="240" w:lineRule="auto"/>
              <w:rPr>
                <w:rFonts w:asciiTheme="minorHAnsi" w:hAnsiTheme="minorHAnsi" w:cstheme="minorHAnsi"/>
                <w:b/>
                <w:bCs/>
                <w:color w:val="000000"/>
                <w:sz w:val="14"/>
                <w:szCs w:val="14"/>
              </w:rPr>
            </w:pPr>
            <w:r w:rsidRPr="00FC7D95">
              <w:rPr>
                <w:rFonts w:asciiTheme="minorHAnsi" w:hAnsiTheme="minorHAnsi" w:cstheme="minorHAnsi"/>
                <w:b/>
                <w:bCs/>
                <w:sz w:val="14"/>
                <w:szCs w:val="14"/>
              </w:rPr>
              <w:t>3 765,15</w:t>
            </w:r>
          </w:p>
        </w:tc>
      </w:tr>
      <w:tr w:rsidR="00FC7D95" w:rsidRPr="008B4FE6" w14:paraId="0C035F2C" w14:textId="77777777" w:rsidTr="00FC7D95">
        <w:trPr>
          <w:trHeight w:val="360"/>
        </w:trPr>
        <w:tc>
          <w:tcPr>
            <w:tcW w:w="1148" w:type="pct"/>
            <w:gridSpan w:val="3"/>
            <w:shd w:val="clear" w:color="auto" w:fill="FFFFFF" w:themeFill="background1"/>
            <w:vAlign w:val="center"/>
          </w:tcPr>
          <w:p w14:paraId="2239C23F" w14:textId="77777777"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budżet państwa</w:t>
            </w:r>
          </w:p>
          <w:p w14:paraId="1F674C02" w14:textId="73D5B8B5"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koszty wynagrodzeń pracownika CNŻ (0,5 etatu)</w:t>
            </w:r>
          </w:p>
        </w:tc>
        <w:tc>
          <w:tcPr>
            <w:tcW w:w="263" w:type="pct"/>
            <w:shd w:val="clear" w:color="auto" w:fill="FFFFFF" w:themeFill="background1"/>
          </w:tcPr>
          <w:p w14:paraId="58DBA006" w14:textId="67DE511E"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30" w:type="pct"/>
            <w:shd w:val="clear" w:color="auto" w:fill="FFFFFF" w:themeFill="background1"/>
          </w:tcPr>
          <w:p w14:paraId="7C96E1F7" w14:textId="407CC744"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sz w:val="14"/>
                <w:szCs w:val="14"/>
              </w:rPr>
              <w:t>18,70</w:t>
            </w:r>
          </w:p>
        </w:tc>
        <w:tc>
          <w:tcPr>
            <w:tcW w:w="320" w:type="pct"/>
            <w:gridSpan w:val="2"/>
            <w:shd w:val="clear" w:color="auto" w:fill="FFFFFF" w:themeFill="background1"/>
          </w:tcPr>
          <w:p w14:paraId="4367AE20" w14:textId="1A328C66"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sz w:val="14"/>
                <w:szCs w:val="14"/>
              </w:rPr>
              <w:t>19,35</w:t>
            </w:r>
          </w:p>
        </w:tc>
        <w:tc>
          <w:tcPr>
            <w:tcW w:w="381" w:type="pct"/>
            <w:gridSpan w:val="2"/>
            <w:shd w:val="clear" w:color="auto" w:fill="FFFFFF" w:themeFill="background1"/>
          </w:tcPr>
          <w:p w14:paraId="7B8FE2F4" w14:textId="77125949"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sz w:val="14"/>
                <w:szCs w:val="14"/>
              </w:rPr>
              <w:t>19,93</w:t>
            </w:r>
          </w:p>
        </w:tc>
        <w:tc>
          <w:tcPr>
            <w:tcW w:w="287" w:type="pct"/>
            <w:gridSpan w:val="2"/>
            <w:shd w:val="clear" w:color="auto" w:fill="FFFFFF" w:themeFill="background1"/>
          </w:tcPr>
          <w:p w14:paraId="5A02A8F8" w14:textId="6E785478"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sz w:val="14"/>
                <w:szCs w:val="14"/>
              </w:rPr>
              <w:t>20,51</w:t>
            </w:r>
          </w:p>
        </w:tc>
        <w:tc>
          <w:tcPr>
            <w:tcW w:w="314" w:type="pct"/>
            <w:shd w:val="clear" w:color="auto" w:fill="FFFFFF" w:themeFill="background1"/>
          </w:tcPr>
          <w:p w14:paraId="33191586" w14:textId="4B2FBDD2"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sz w:val="14"/>
                <w:szCs w:val="14"/>
              </w:rPr>
              <w:t>21,10</w:t>
            </w:r>
          </w:p>
        </w:tc>
        <w:tc>
          <w:tcPr>
            <w:tcW w:w="298" w:type="pct"/>
            <w:shd w:val="clear" w:color="auto" w:fill="FFFFFF" w:themeFill="background1"/>
          </w:tcPr>
          <w:p w14:paraId="645B90F1" w14:textId="5A757A7A"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sz w:val="14"/>
                <w:szCs w:val="14"/>
              </w:rPr>
              <w:t>21,72</w:t>
            </w:r>
          </w:p>
        </w:tc>
        <w:tc>
          <w:tcPr>
            <w:tcW w:w="322" w:type="pct"/>
            <w:shd w:val="clear" w:color="auto" w:fill="FFFFFF" w:themeFill="background1"/>
          </w:tcPr>
          <w:p w14:paraId="27D45088" w14:textId="5B2A8CA0"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sz w:val="14"/>
                <w:szCs w:val="14"/>
              </w:rPr>
              <w:t>22,35</w:t>
            </w:r>
          </w:p>
        </w:tc>
        <w:tc>
          <w:tcPr>
            <w:tcW w:w="321" w:type="pct"/>
            <w:gridSpan w:val="2"/>
            <w:shd w:val="clear" w:color="auto" w:fill="FFFFFF" w:themeFill="background1"/>
          </w:tcPr>
          <w:p w14:paraId="1722493A" w14:textId="6223D754"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sz w:val="14"/>
                <w:szCs w:val="14"/>
              </w:rPr>
              <w:t>22,99</w:t>
            </w:r>
          </w:p>
        </w:tc>
        <w:tc>
          <w:tcPr>
            <w:tcW w:w="325" w:type="pct"/>
            <w:gridSpan w:val="2"/>
            <w:shd w:val="clear" w:color="auto" w:fill="FFFFFF" w:themeFill="background1"/>
          </w:tcPr>
          <w:p w14:paraId="195FE50E" w14:textId="2B7CFE31"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sz w:val="14"/>
                <w:szCs w:val="14"/>
              </w:rPr>
              <w:t>23,64</w:t>
            </w:r>
          </w:p>
        </w:tc>
        <w:tc>
          <w:tcPr>
            <w:tcW w:w="320" w:type="pct"/>
            <w:shd w:val="clear" w:color="auto" w:fill="FFFFFF" w:themeFill="background1"/>
          </w:tcPr>
          <w:p w14:paraId="0EE2F94B" w14:textId="5CA1C052"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sz w:val="14"/>
                <w:szCs w:val="14"/>
              </w:rPr>
              <w:t>24,30</w:t>
            </w:r>
          </w:p>
        </w:tc>
        <w:tc>
          <w:tcPr>
            <w:tcW w:w="372" w:type="pct"/>
            <w:shd w:val="clear" w:color="auto" w:fill="FFFFFF" w:themeFill="background1"/>
          </w:tcPr>
          <w:p w14:paraId="3482765B" w14:textId="17DBBF43" w:rsidR="00FC7D95" w:rsidRPr="00FC7D95" w:rsidRDefault="00FC7D95" w:rsidP="00FC7D95">
            <w:pPr>
              <w:spacing w:line="240" w:lineRule="auto"/>
              <w:rPr>
                <w:rFonts w:asciiTheme="minorHAnsi" w:hAnsiTheme="minorHAnsi" w:cstheme="minorHAnsi"/>
                <w:b/>
                <w:bCs/>
                <w:color w:val="000000"/>
                <w:sz w:val="14"/>
                <w:szCs w:val="14"/>
              </w:rPr>
            </w:pPr>
            <w:r w:rsidRPr="00FC7D95">
              <w:rPr>
                <w:rFonts w:asciiTheme="minorHAnsi" w:hAnsiTheme="minorHAnsi" w:cstheme="minorHAnsi"/>
                <w:b/>
                <w:bCs/>
                <w:sz w:val="14"/>
                <w:szCs w:val="14"/>
              </w:rPr>
              <w:t>214,58</w:t>
            </w:r>
          </w:p>
        </w:tc>
      </w:tr>
      <w:tr w:rsidR="00FC7D95" w:rsidRPr="008B4FE6" w14:paraId="4A465FB5" w14:textId="77777777" w:rsidTr="00FC7D95">
        <w:trPr>
          <w:trHeight w:val="357"/>
        </w:trPr>
        <w:tc>
          <w:tcPr>
            <w:tcW w:w="1148" w:type="pct"/>
            <w:gridSpan w:val="3"/>
            <w:shd w:val="clear" w:color="auto" w:fill="FFFFFF" w:themeFill="background1"/>
            <w:vAlign w:val="center"/>
          </w:tcPr>
          <w:p w14:paraId="70B3B2EB" w14:textId="77777777"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JST</w:t>
            </w:r>
          </w:p>
        </w:tc>
        <w:tc>
          <w:tcPr>
            <w:tcW w:w="263" w:type="pct"/>
            <w:shd w:val="clear" w:color="auto" w:fill="FFFFFF" w:themeFill="background1"/>
          </w:tcPr>
          <w:p w14:paraId="5F07D11E" w14:textId="660F4F0F"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30" w:type="pct"/>
            <w:shd w:val="clear" w:color="auto" w:fill="FFFFFF" w:themeFill="background1"/>
          </w:tcPr>
          <w:p w14:paraId="41508A3C" w14:textId="435555A9"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20" w:type="pct"/>
            <w:gridSpan w:val="2"/>
            <w:shd w:val="clear" w:color="auto" w:fill="FFFFFF" w:themeFill="background1"/>
          </w:tcPr>
          <w:p w14:paraId="43D6B1D6" w14:textId="1E09C4B1"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81" w:type="pct"/>
            <w:gridSpan w:val="2"/>
            <w:shd w:val="clear" w:color="auto" w:fill="FFFFFF" w:themeFill="background1"/>
          </w:tcPr>
          <w:p w14:paraId="17DBC151" w14:textId="2BFFC293"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287" w:type="pct"/>
            <w:gridSpan w:val="2"/>
            <w:shd w:val="clear" w:color="auto" w:fill="FFFFFF" w:themeFill="background1"/>
          </w:tcPr>
          <w:p w14:paraId="6F8BD81B" w14:textId="6BE6EA51"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14" w:type="pct"/>
            <w:shd w:val="clear" w:color="auto" w:fill="FFFFFF" w:themeFill="background1"/>
          </w:tcPr>
          <w:p w14:paraId="2613E9C1" w14:textId="4706D2E1"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298" w:type="pct"/>
            <w:shd w:val="clear" w:color="auto" w:fill="FFFFFF" w:themeFill="background1"/>
          </w:tcPr>
          <w:p w14:paraId="1037B8A3" w14:textId="4117C695"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22" w:type="pct"/>
            <w:shd w:val="clear" w:color="auto" w:fill="FFFFFF" w:themeFill="background1"/>
          </w:tcPr>
          <w:p w14:paraId="687C6DE0" w14:textId="29BA6D64"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21" w:type="pct"/>
            <w:gridSpan w:val="2"/>
            <w:shd w:val="clear" w:color="auto" w:fill="FFFFFF" w:themeFill="background1"/>
          </w:tcPr>
          <w:p w14:paraId="5B2F9378" w14:textId="094762BA"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25" w:type="pct"/>
            <w:gridSpan w:val="2"/>
            <w:shd w:val="clear" w:color="auto" w:fill="FFFFFF" w:themeFill="background1"/>
          </w:tcPr>
          <w:p w14:paraId="58E6DD4E" w14:textId="18BD0FC9"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20" w:type="pct"/>
            <w:shd w:val="clear" w:color="auto" w:fill="FFFFFF" w:themeFill="background1"/>
          </w:tcPr>
          <w:p w14:paraId="7D3BEE8F" w14:textId="6A44E67F"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72" w:type="pct"/>
            <w:shd w:val="clear" w:color="auto" w:fill="FFFFFF" w:themeFill="background1"/>
          </w:tcPr>
          <w:p w14:paraId="3B88899E" w14:textId="32F96176"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r>
      <w:tr w:rsidR="00FC7D95" w:rsidRPr="008B4FE6" w14:paraId="21C1B622" w14:textId="77777777" w:rsidTr="00FC7D95">
        <w:trPr>
          <w:trHeight w:val="357"/>
        </w:trPr>
        <w:tc>
          <w:tcPr>
            <w:tcW w:w="1148" w:type="pct"/>
            <w:gridSpan w:val="3"/>
            <w:shd w:val="clear" w:color="auto" w:fill="FFFFFF" w:themeFill="background1"/>
            <w:vAlign w:val="center"/>
          </w:tcPr>
          <w:p w14:paraId="7CBF8CB3" w14:textId="77777777"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pozostałe jednostki (oddzielnie)</w:t>
            </w:r>
          </w:p>
        </w:tc>
        <w:tc>
          <w:tcPr>
            <w:tcW w:w="263" w:type="pct"/>
            <w:shd w:val="clear" w:color="auto" w:fill="FFFFFF" w:themeFill="background1"/>
          </w:tcPr>
          <w:p w14:paraId="69E2BB2B" w14:textId="7458DFD7"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30" w:type="pct"/>
            <w:shd w:val="clear" w:color="auto" w:fill="FFFFFF" w:themeFill="background1"/>
          </w:tcPr>
          <w:p w14:paraId="57C0D796" w14:textId="3BC3FAE7"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20" w:type="pct"/>
            <w:gridSpan w:val="2"/>
            <w:shd w:val="clear" w:color="auto" w:fill="FFFFFF" w:themeFill="background1"/>
          </w:tcPr>
          <w:p w14:paraId="0D142F6F" w14:textId="77CB8440"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81" w:type="pct"/>
            <w:gridSpan w:val="2"/>
            <w:shd w:val="clear" w:color="auto" w:fill="FFFFFF" w:themeFill="background1"/>
          </w:tcPr>
          <w:p w14:paraId="4475AD14" w14:textId="0DD84DC2"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287" w:type="pct"/>
            <w:gridSpan w:val="2"/>
            <w:shd w:val="clear" w:color="auto" w:fill="FFFFFF" w:themeFill="background1"/>
          </w:tcPr>
          <w:p w14:paraId="120C4E94" w14:textId="14B8155F"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14" w:type="pct"/>
            <w:shd w:val="clear" w:color="auto" w:fill="FFFFFF" w:themeFill="background1"/>
          </w:tcPr>
          <w:p w14:paraId="42AFC42D" w14:textId="6BD4C9AB"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298" w:type="pct"/>
            <w:shd w:val="clear" w:color="auto" w:fill="FFFFFF" w:themeFill="background1"/>
          </w:tcPr>
          <w:p w14:paraId="271CA723" w14:textId="482A2C27"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22" w:type="pct"/>
            <w:shd w:val="clear" w:color="auto" w:fill="FFFFFF" w:themeFill="background1"/>
          </w:tcPr>
          <w:p w14:paraId="75FBE423" w14:textId="700364D3"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21" w:type="pct"/>
            <w:gridSpan w:val="2"/>
            <w:shd w:val="clear" w:color="auto" w:fill="FFFFFF" w:themeFill="background1"/>
          </w:tcPr>
          <w:p w14:paraId="2D3F0BEC" w14:textId="12A33E22"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25" w:type="pct"/>
            <w:gridSpan w:val="2"/>
            <w:shd w:val="clear" w:color="auto" w:fill="FFFFFF" w:themeFill="background1"/>
          </w:tcPr>
          <w:p w14:paraId="75CF4315" w14:textId="281351A3"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20" w:type="pct"/>
            <w:shd w:val="clear" w:color="auto" w:fill="FFFFFF" w:themeFill="background1"/>
          </w:tcPr>
          <w:p w14:paraId="3CB648E9" w14:textId="704B7A8A"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c>
          <w:tcPr>
            <w:tcW w:w="372" w:type="pct"/>
            <w:shd w:val="clear" w:color="auto" w:fill="FFFFFF" w:themeFill="background1"/>
          </w:tcPr>
          <w:p w14:paraId="0C178E9E" w14:textId="241CC4CF" w:rsidR="00FC7D95" w:rsidRPr="00FC7D95" w:rsidRDefault="00FC7D95" w:rsidP="00FC7D95">
            <w:pPr>
              <w:spacing w:line="240" w:lineRule="auto"/>
              <w:rPr>
                <w:rFonts w:asciiTheme="minorHAnsi" w:hAnsiTheme="minorHAnsi" w:cstheme="minorHAnsi"/>
                <w:color w:val="000000"/>
                <w:sz w:val="14"/>
                <w:szCs w:val="14"/>
              </w:rPr>
            </w:pPr>
            <w:r w:rsidRPr="00FC7D95">
              <w:rPr>
                <w:rFonts w:asciiTheme="minorHAnsi" w:hAnsiTheme="minorHAnsi" w:cstheme="minorHAnsi"/>
                <w:color w:val="000000"/>
                <w:sz w:val="14"/>
                <w:szCs w:val="14"/>
              </w:rPr>
              <w:t>0,00</w:t>
            </w:r>
          </w:p>
        </w:tc>
      </w:tr>
      <w:tr w:rsidR="00FC7D95" w:rsidRPr="008B4FE6" w14:paraId="239E7352" w14:textId="77777777" w:rsidTr="00FC7D95">
        <w:trPr>
          <w:trHeight w:val="348"/>
        </w:trPr>
        <w:tc>
          <w:tcPr>
            <w:tcW w:w="1411" w:type="pct"/>
            <w:gridSpan w:val="4"/>
            <w:shd w:val="clear" w:color="auto" w:fill="FFFFFF" w:themeFill="background1"/>
            <w:vAlign w:val="center"/>
          </w:tcPr>
          <w:p w14:paraId="566BB84F" w14:textId="77777777" w:rsidR="00FC7D95" w:rsidRPr="00FC7D95" w:rsidRDefault="00FC7D95" w:rsidP="00FC7D95">
            <w:pPr>
              <w:spacing w:line="240" w:lineRule="auto"/>
              <w:rPr>
                <w:rFonts w:asciiTheme="minorHAnsi" w:hAnsiTheme="minorHAnsi" w:cstheme="minorHAnsi"/>
                <w:color w:val="000000"/>
                <w:sz w:val="21"/>
                <w:szCs w:val="21"/>
              </w:rPr>
            </w:pPr>
            <w:r w:rsidRPr="00FC7D95">
              <w:rPr>
                <w:rFonts w:asciiTheme="minorHAnsi" w:hAnsiTheme="minorHAnsi" w:cstheme="minorHAnsi"/>
                <w:color w:val="000000"/>
                <w:sz w:val="21"/>
                <w:szCs w:val="21"/>
              </w:rPr>
              <w:t xml:space="preserve">Źródła finansowania </w:t>
            </w:r>
          </w:p>
        </w:tc>
        <w:tc>
          <w:tcPr>
            <w:tcW w:w="3589" w:type="pct"/>
            <w:gridSpan w:val="16"/>
            <w:shd w:val="clear" w:color="auto" w:fill="FFFFFF" w:themeFill="background1"/>
            <w:vAlign w:val="center"/>
          </w:tcPr>
          <w:p w14:paraId="651E9592" w14:textId="4E23F96E" w:rsidR="00FC7D95" w:rsidRPr="00FC7D95" w:rsidRDefault="00FC7D95" w:rsidP="00FC7D95">
            <w:pPr>
              <w:spacing w:before="240" w:after="240"/>
              <w:ind w:hanging="2"/>
              <w:jc w:val="both"/>
              <w:rPr>
                <w:rFonts w:asciiTheme="minorHAnsi" w:eastAsia="Times New Roman" w:hAnsiTheme="minorHAnsi" w:cstheme="minorHAnsi"/>
                <w:sz w:val="21"/>
                <w:szCs w:val="21"/>
              </w:rPr>
            </w:pPr>
            <w:r w:rsidRPr="00FC7D95">
              <w:rPr>
                <w:rFonts w:asciiTheme="minorHAnsi" w:eastAsia="Times New Roman" w:hAnsiTheme="minorHAnsi" w:cstheme="minorHAnsi"/>
                <w:sz w:val="21"/>
                <w:szCs w:val="21"/>
              </w:rPr>
              <w:t>Budżet Państwa</w:t>
            </w:r>
          </w:p>
        </w:tc>
      </w:tr>
      <w:tr w:rsidR="00FC7D95" w:rsidRPr="008B4FE6" w14:paraId="36279B90" w14:textId="77777777" w:rsidTr="00FC7D95">
        <w:trPr>
          <w:trHeight w:val="1926"/>
        </w:trPr>
        <w:tc>
          <w:tcPr>
            <w:tcW w:w="1411" w:type="pct"/>
            <w:gridSpan w:val="4"/>
            <w:shd w:val="clear" w:color="auto" w:fill="FFFFFF" w:themeFill="background1"/>
          </w:tcPr>
          <w:p w14:paraId="2A29523C" w14:textId="77777777" w:rsidR="00FC7D95" w:rsidRPr="00FC7D95" w:rsidRDefault="00FC7D95" w:rsidP="00FC7D95">
            <w:pPr>
              <w:spacing w:line="240" w:lineRule="auto"/>
              <w:rPr>
                <w:rFonts w:asciiTheme="minorHAnsi" w:hAnsiTheme="minorHAnsi" w:cstheme="minorHAnsi"/>
                <w:color w:val="000000"/>
                <w:sz w:val="21"/>
                <w:szCs w:val="21"/>
              </w:rPr>
            </w:pPr>
            <w:r w:rsidRPr="00FC7D95">
              <w:rPr>
                <w:rFonts w:asciiTheme="minorHAnsi" w:hAnsiTheme="minorHAnsi" w:cstheme="minorHAnsi"/>
                <w:color w:val="000000"/>
                <w:sz w:val="21"/>
                <w:szCs w:val="21"/>
              </w:rPr>
              <w:t>Dodatkowe informacje, w tym wskazanie źródeł danych i przyjętych do obliczeń założeń</w:t>
            </w:r>
          </w:p>
        </w:tc>
        <w:tc>
          <w:tcPr>
            <w:tcW w:w="3589" w:type="pct"/>
            <w:gridSpan w:val="16"/>
            <w:shd w:val="clear" w:color="auto" w:fill="FFFFFF" w:themeFill="background1"/>
          </w:tcPr>
          <w:p w14:paraId="0E6B7FE9" w14:textId="7256531F" w:rsidR="00FC7D95" w:rsidRPr="00FC7D95" w:rsidRDefault="00FC7D95" w:rsidP="00FC7D95">
            <w:pPr>
              <w:jc w:val="both"/>
              <w:rPr>
                <w:rFonts w:asciiTheme="minorHAnsi" w:eastAsia="Times New Roman" w:hAnsiTheme="minorHAnsi" w:cstheme="minorHAnsi"/>
                <w:b/>
                <w:sz w:val="24"/>
                <w:szCs w:val="24"/>
                <w:lang w:eastAsia="pl-PL"/>
              </w:rPr>
            </w:pPr>
            <w:r w:rsidRPr="00FC7D95">
              <w:rPr>
                <w:rFonts w:asciiTheme="minorHAnsi" w:eastAsia="Times New Roman" w:hAnsiTheme="minorHAnsi" w:cstheme="minorHAnsi"/>
              </w:rPr>
              <w:t>Założenia metodyczne przyjęte do obliczeń i oszacowania finansowych skutków wdrożenia przepisów</w:t>
            </w:r>
            <w:r w:rsidRPr="00FC7D95">
              <w:rPr>
                <w:rFonts w:asciiTheme="minorHAnsi" w:eastAsia="Times New Roman" w:hAnsiTheme="minorHAnsi" w:cstheme="minorHAnsi"/>
                <w:b/>
              </w:rPr>
              <w:t xml:space="preserve"> ustawy o wyrównywaniu szans osób z niepełnosprawnościami</w:t>
            </w:r>
            <w:r w:rsidRPr="00FC7D95">
              <w:rPr>
                <w:rFonts w:asciiTheme="minorHAnsi" w:eastAsia="Times New Roman" w:hAnsiTheme="minorHAnsi" w:cstheme="minorHAnsi"/>
              </w:rPr>
              <w:t xml:space="preserve"> dokonano z uwzględnieniem:</w:t>
            </w:r>
          </w:p>
          <w:p w14:paraId="4D16BF8C" w14:textId="633A80F5" w:rsidR="00FC7D95" w:rsidRPr="00FC7D95" w:rsidRDefault="00FC7D95" w:rsidP="00FC7D95">
            <w:pPr>
              <w:spacing w:after="120" w:line="240" w:lineRule="auto"/>
              <w:ind w:hanging="2"/>
              <w:jc w:val="both"/>
              <w:rPr>
                <w:rFonts w:asciiTheme="minorHAnsi" w:eastAsia="Times New Roman" w:hAnsiTheme="minorHAnsi" w:cstheme="minorHAnsi"/>
              </w:rPr>
            </w:pPr>
            <w:r w:rsidRPr="00FC7D95">
              <w:rPr>
                <w:rFonts w:asciiTheme="minorHAnsi" w:eastAsia="Times New Roman" w:hAnsiTheme="minorHAnsi" w:cstheme="minorHAnsi"/>
              </w:rPr>
              <w:t>1) kształtu wersji instrumentu asysta prawna jako element systemu wspieranego podejmowania decyzji w ramach projektu “Aktywni niepełnosprawni – narzędzia wsparcia samodzielności osób niepełnosprawnych”;</w:t>
            </w:r>
          </w:p>
          <w:p w14:paraId="7CBF36A5" w14:textId="5F261AFB" w:rsidR="00FC7D95" w:rsidRPr="00FC7D95" w:rsidRDefault="00FC7D95" w:rsidP="00FC7D95">
            <w:pPr>
              <w:spacing w:after="120" w:line="240" w:lineRule="auto"/>
              <w:ind w:hanging="2"/>
              <w:jc w:val="both"/>
              <w:rPr>
                <w:rFonts w:asciiTheme="minorHAnsi" w:eastAsia="Times New Roman" w:hAnsiTheme="minorHAnsi" w:cstheme="minorHAnsi"/>
              </w:rPr>
            </w:pPr>
            <w:r w:rsidRPr="00FC7D95">
              <w:rPr>
                <w:rFonts w:asciiTheme="minorHAnsi" w:eastAsia="Times New Roman" w:hAnsiTheme="minorHAnsi" w:cstheme="minorHAnsi"/>
              </w:rPr>
              <w:lastRenderedPageBreak/>
              <w:t>2) doświadczeń z realizacji pilotażu wersji instrumentu asysta prawna jako element systemu wspieranego podejmowania decyzji, o której mowa powyżej;</w:t>
            </w:r>
          </w:p>
          <w:p w14:paraId="4EA06182" w14:textId="08B9C76E" w:rsidR="00FC7D95" w:rsidRPr="00FC7D95" w:rsidRDefault="00FC7D95" w:rsidP="00FC7D95">
            <w:pPr>
              <w:spacing w:after="120" w:line="240" w:lineRule="auto"/>
              <w:ind w:hanging="2"/>
              <w:jc w:val="both"/>
              <w:rPr>
                <w:rFonts w:asciiTheme="minorHAnsi" w:eastAsia="Times New Roman" w:hAnsiTheme="minorHAnsi" w:cstheme="minorHAnsi"/>
              </w:rPr>
            </w:pPr>
            <w:r w:rsidRPr="00FC7D95">
              <w:rPr>
                <w:rFonts w:asciiTheme="minorHAnsi" w:eastAsia="Times New Roman" w:hAnsiTheme="minorHAnsi" w:cstheme="minorHAnsi"/>
              </w:rPr>
              <w:t>3) wyników ewaluacji pilotażu instrumentu asysta prawna jako element systemu wspieranego podejmowania decyzji;</w:t>
            </w:r>
          </w:p>
          <w:p w14:paraId="79C9A4F2" w14:textId="71E1D2A0" w:rsidR="00FC7D95" w:rsidRPr="00FC7D95" w:rsidRDefault="00FC7D95" w:rsidP="00FC7D95">
            <w:pPr>
              <w:spacing w:after="120" w:line="240" w:lineRule="auto"/>
              <w:ind w:hanging="2"/>
              <w:jc w:val="both"/>
              <w:rPr>
                <w:rFonts w:asciiTheme="minorHAnsi" w:eastAsia="Times New Roman" w:hAnsiTheme="minorHAnsi" w:cstheme="minorHAnsi"/>
              </w:rPr>
            </w:pPr>
            <w:r w:rsidRPr="00FC7D95">
              <w:rPr>
                <w:rFonts w:asciiTheme="minorHAnsi" w:eastAsia="Times New Roman" w:hAnsiTheme="minorHAnsi" w:cstheme="minorHAnsi"/>
              </w:rPr>
              <w:t xml:space="preserve">4) prac zespołu eksperckiego, ustalającego pożądany, końcowy kształt i zakres instrumentu asysta prawna jako element systemu wspieranego podejmowania decyzji, z uwzględnieniem doświadczeń z pilotażu instrumentu i wyników ewaluacji instrumentu, wraz z projektem aktów normatywnych pozwalających </w:t>
            </w:r>
            <w:proofErr w:type="gramStart"/>
            <w:r w:rsidRPr="00FC7D95">
              <w:rPr>
                <w:rFonts w:asciiTheme="minorHAnsi" w:eastAsia="Times New Roman" w:hAnsiTheme="minorHAnsi" w:cstheme="minorHAnsi"/>
              </w:rPr>
              <w:t>na  wdrożenia</w:t>
            </w:r>
            <w:proofErr w:type="gramEnd"/>
            <w:r w:rsidRPr="00FC7D95">
              <w:rPr>
                <w:rFonts w:asciiTheme="minorHAnsi" w:eastAsia="Times New Roman" w:hAnsiTheme="minorHAnsi" w:cstheme="minorHAnsi"/>
              </w:rPr>
              <w:t xml:space="preserve"> instrumentu Asysta prawna jako element systemu wspieranego podejmowania decyzji, tj. projektów rozporządzeń:</w:t>
            </w:r>
          </w:p>
          <w:p w14:paraId="339F93BB" w14:textId="63D726CA" w:rsidR="00FC7D95" w:rsidRPr="00FC7D95" w:rsidRDefault="00FC7D95" w:rsidP="00FC7D95">
            <w:pPr>
              <w:spacing w:after="160" w:line="235" w:lineRule="atLeast"/>
              <w:jc w:val="both"/>
              <w:rPr>
                <w:rFonts w:asciiTheme="minorHAnsi" w:eastAsia="Times New Roman" w:hAnsiTheme="minorHAnsi" w:cstheme="minorHAnsi"/>
                <w:color w:val="222222"/>
                <w:lang w:eastAsia="pl-PL"/>
              </w:rPr>
            </w:pPr>
            <w:r w:rsidRPr="00FC7D95">
              <w:rPr>
                <w:rFonts w:asciiTheme="minorHAnsi" w:eastAsia="Times New Roman" w:hAnsiTheme="minorHAnsi" w:cstheme="minorHAnsi"/>
                <w:color w:val="222222"/>
                <w:lang w:eastAsia="pl-PL"/>
              </w:rPr>
              <w:t>a). </w:t>
            </w:r>
            <w:r w:rsidRPr="00FC7D95">
              <w:rPr>
                <w:rFonts w:asciiTheme="minorHAnsi" w:eastAsia="Times New Roman" w:hAnsiTheme="minorHAnsi" w:cstheme="minorHAnsi"/>
                <w:b/>
                <w:bCs/>
                <w:color w:val="222222"/>
                <w:lang w:eastAsia="pl-PL"/>
              </w:rPr>
              <w:t>w sprawie wzoru oświadczenia o zawarciu umowy o asystę prawną.</w:t>
            </w:r>
          </w:p>
          <w:p w14:paraId="0BF33219" w14:textId="7DEE13DD" w:rsidR="00FC7D95" w:rsidRPr="00FC7D95" w:rsidRDefault="00FC7D95" w:rsidP="00FC7D95">
            <w:pPr>
              <w:spacing w:after="160" w:line="235" w:lineRule="atLeast"/>
              <w:jc w:val="both"/>
              <w:rPr>
                <w:rFonts w:asciiTheme="minorHAnsi" w:eastAsia="Times New Roman" w:hAnsiTheme="minorHAnsi" w:cstheme="minorHAnsi"/>
                <w:color w:val="222222"/>
                <w:lang w:eastAsia="pl-PL"/>
              </w:rPr>
            </w:pPr>
            <w:r w:rsidRPr="00FC7D95">
              <w:rPr>
                <w:rFonts w:asciiTheme="minorHAnsi" w:eastAsia="Times New Roman" w:hAnsiTheme="minorHAnsi" w:cstheme="minorHAnsi"/>
                <w:color w:val="222222"/>
                <w:lang w:eastAsia="pl-PL"/>
              </w:rPr>
              <w:t>b). </w:t>
            </w:r>
            <w:r w:rsidRPr="00FC7D95">
              <w:rPr>
                <w:rFonts w:asciiTheme="minorHAnsi" w:eastAsia="Times New Roman" w:hAnsiTheme="minorHAnsi" w:cstheme="minorHAnsi"/>
                <w:b/>
                <w:bCs/>
                <w:color w:val="222222"/>
                <w:lang w:eastAsia="pl-PL"/>
              </w:rPr>
              <w:t>w sprawie wzoru zaświadczenia o ustanowieniu asystenta prawnego.</w:t>
            </w:r>
          </w:p>
          <w:p w14:paraId="0BD58F4D" w14:textId="1EBE19BC" w:rsidR="00FC7D95" w:rsidRPr="00FC7D95" w:rsidRDefault="00FC7D95" w:rsidP="00FC7D95">
            <w:pPr>
              <w:spacing w:after="160" w:line="235" w:lineRule="atLeast"/>
              <w:jc w:val="both"/>
              <w:rPr>
                <w:rFonts w:asciiTheme="minorHAnsi" w:eastAsia="Times New Roman" w:hAnsiTheme="minorHAnsi" w:cstheme="minorHAnsi"/>
                <w:color w:val="222222"/>
                <w:lang w:eastAsia="pl-PL"/>
              </w:rPr>
            </w:pPr>
            <w:r w:rsidRPr="00FC7D95">
              <w:rPr>
                <w:rFonts w:asciiTheme="minorHAnsi" w:eastAsia="Times New Roman" w:hAnsiTheme="minorHAnsi" w:cstheme="minorHAnsi"/>
                <w:color w:val="222222"/>
                <w:lang w:eastAsia="pl-PL"/>
              </w:rPr>
              <w:t>c).</w:t>
            </w:r>
            <w:r w:rsidRPr="00FC7D95">
              <w:rPr>
                <w:rFonts w:asciiTheme="minorHAnsi" w:eastAsia="Times New Roman" w:hAnsiTheme="minorHAnsi" w:cstheme="minorHAnsi"/>
                <w:b/>
                <w:bCs/>
                <w:color w:val="222222"/>
                <w:lang w:eastAsia="pl-PL"/>
              </w:rPr>
              <w:t> w sprawie wzoru zaświadczenia o ustanowieniu pełnomocnika wspierającego.</w:t>
            </w:r>
          </w:p>
          <w:p w14:paraId="1AE72284" w14:textId="12F8977D" w:rsidR="00FC7D95" w:rsidRPr="00FC7D95" w:rsidRDefault="00FC7D95" w:rsidP="00FC7D95">
            <w:pPr>
              <w:spacing w:after="160" w:line="235" w:lineRule="atLeast"/>
              <w:jc w:val="both"/>
              <w:rPr>
                <w:rFonts w:asciiTheme="minorHAnsi" w:eastAsia="Times New Roman" w:hAnsiTheme="minorHAnsi" w:cstheme="minorHAnsi"/>
                <w:color w:val="222222"/>
                <w:lang w:eastAsia="pl-PL"/>
              </w:rPr>
            </w:pPr>
            <w:r w:rsidRPr="00FC7D95">
              <w:rPr>
                <w:rFonts w:asciiTheme="minorHAnsi" w:eastAsia="Times New Roman" w:hAnsiTheme="minorHAnsi" w:cstheme="minorHAnsi"/>
                <w:color w:val="222222"/>
                <w:lang w:eastAsia="pl-PL"/>
              </w:rPr>
              <w:t>d). </w:t>
            </w:r>
            <w:r w:rsidRPr="00FC7D95">
              <w:rPr>
                <w:rFonts w:asciiTheme="minorHAnsi" w:eastAsia="Times New Roman" w:hAnsiTheme="minorHAnsi" w:cstheme="minorHAnsi"/>
                <w:b/>
                <w:bCs/>
                <w:color w:val="222222"/>
                <w:lang w:eastAsia="pl-PL"/>
              </w:rPr>
              <w:t>w sprawie wzoru i sposobu udostępniania urzędowego formularza wniosku o wszczęcie postępowania nadzorczego nad wykonywaniem asysty prawnej.</w:t>
            </w:r>
          </w:p>
          <w:p w14:paraId="3023D581" w14:textId="50F6724B" w:rsidR="00FC7D95" w:rsidRPr="00FC7D95" w:rsidRDefault="00FC7D95" w:rsidP="00FC7D95">
            <w:pPr>
              <w:spacing w:after="160" w:line="235" w:lineRule="atLeast"/>
              <w:jc w:val="both"/>
              <w:rPr>
                <w:rFonts w:asciiTheme="minorHAnsi" w:eastAsia="Times New Roman" w:hAnsiTheme="minorHAnsi" w:cstheme="minorHAnsi"/>
                <w:color w:val="222222"/>
                <w:lang w:eastAsia="pl-PL"/>
              </w:rPr>
            </w:pPr>
            <w:r w:rsidRPr="00FC7D95">
              <w:rPr>
                <w:rFonts w:asciiTheme="minorHAnsi" w:eastAsia="Times New Roman" w:hAnsiTheme="minorHAnsi" w:cstheme="minorHAnsi"/>
                <w:color w:val="222222"/>
                <w:lang w:eastAsia="pl-PL"/>
              </w:rPr>
              <w:t>e). </w:t>
            </w:r>
            <w:r w:rsidRPr="00FC7D95">
              <w:rPr>
                <w:rFonts w:asciiTheme="minorHAnsi" w:eastAsia="Times New Roman" w:hAnsiTheme="minorHAnsi" w:cstheme="minorHAnsi"/>
                <w:b/>
                <w:bCs/>
                <w:color w:val="222222"/>
                <w:lang w:eastAsia="pl-PL"/>
              </w:rPr>
              <w:t>w sprawie listy kandydatów na asystentów prawnych oraz pełnomocników wspierających.</w:t>
            </w:r>
            <w:r w:rsidRPr="00FC7D95">
              <w:rPr>
                <w:rFonts w:asciiTheme="minorHAnsi" w:eastAsia="Times New Roman" w:hAnsiTheme="minorHAnsi" w:cstheme="minorHAnsi"/>
                <w:color w:val="222222"/>
                <w:lang w:eastAsia="pl-PL"/>
              </w:rPr>
              <w:t> </w:t>
            </w:r>
          </w:p>
          <w:p w14:paraId="69C28E80" w14:textId="4F13270D" w:rsidR="00FC7D95" w:rsidRPr="00FC7D95" w:rsidRDefault="00FC7D95" w:rsidP="00FC7D95">
            <w:pPr>
              <w:spacing w:after="160" w:line="235" w:lineRule="atLeast"/>
              <w:jc w:val="both"/>
              <w:rPr>
                <w:rFonts w:asciiTheme="minorHAnsi" w:eastAsia="Times New Roman" w:hAnsiTheme="minorHAnsi" w:cstheme="minorHAnsi"/>
                <w:color w:val="222222"/>
                <w:lang w:eastAsia="pl-PL"/>
              </w:rPr>
            </w:pPr>
            <w:r w:rsidRPr="00FC7D95">
              <w:rPr>
                <w:rFonts w:asciiTheme="minorHAnsi" w:eastAsia="Times New Roman" w:hAnsiTheme="minorHAnsi" w:cstheme="minorHAnsi"/>
                <w:color w:val="222222"/>
                <w:lang w:eastAsia="pl-PL"/>
              </w:rPr>
              <w:t>f). </w:t>
            </w:r>
            <w:r w:rsidRPr="00FC7D95">
              <w:rPr>
                <w:rFonts w:asciiTheme="minorHAnsi" w:eastAsia="Times New Roman" w:hAnsiTheme="minorHAnsi" w:cstheme="minorHAnsi"/>
                <w:b/>
                <w:bCs/>
                <w:color w:val="222222"/>
                <w:lang w:eastAsia="pl-PL"/>
              </w:rPr>
              <w:t>w sprawie sposobu uiszczania i wysokości opłat zapisy dokonywane w Rejestrze Pełnomocnictw na Przyszłość.</w:t>
            </w:r>
            <w:r w:rsidRPr="00FC7D95">
              <w:rPr>
                <w:rFonts w:asciiTheme="minorHAnsi" w:eastAsia="Times New Roman" w:hAnsiTheme="minorHAnsi" w:cstheme="minorHAnsi"/>
                <w:color w:val="222222"/>
                <w:lang w:eastAsia="pl-PL"/>
              </w:rPr>
              <w:t> </w:t>
            </w:r>
          </w:p>
          <w:p w14:paraId="080D2793" w14:textId="77777777" w:rsidR="00FC7D95" w:rsidRPr="00FC7D95" w:rsidRDefault="00FC7D95" w:rsidP="00FC7D95">
            <w:pPr>
              <w:spacing w:after="120" w:line="240" w:lineRule="auto"/>
              <w:ind w:hanging="2"/>
              <w:jc w:val="both"/>
              <w:rPr>
                <w:rFonts w:asciiTheme="minorHAnsi" w:eastAsia="Times New Roman" w:hAnsiTheme="minorHAnsi" w:cstheme="minorHAnsi"/>
              </w:rPr>
            </w:pPr>
            <w:r w:rsidRPr="00FC7D95">
              <w:rPr>
                <w:rFonts w:asciiTheme="minorHAnsi" w:eastAsia="Times New Roman" w:hAnsiTheme="minorHAnsi" w:cstheme="minorHAnsi"/>
              </w:rPr>
              <w:t>5) obowiązujących w Rzeczypospolitej Polskiego aktów normatywnych i wytycznych odnoszących się do finansowych skutków wdrożenia ustaw, w szczególności aktualnych „Wytycznych dotyczących stosowania jednolitych wskaźników makroekonomicznych będących podstawą oszacowania skutków finansowych projektowanych ustaw”.</w:t>
            </w:r>
          </w:p>
          <w:p w14:paraId="5DF6021B" w14:textId="77777777" w:rsidR="00FC7D95" w:rsidRPr="00FC7D95" w:rsidRDefault="00FC7D95" w:rsidP="00FC7D95">
            <w:pPr>
              <w:spacing w:after="120" w:line="240" w:lineRule="auto"/>
              <w:ind w:hanging="2"/>
              <w:jc w:val="both"/>
              <w:rPr>
                <w:rFonts w:asciiTheme="minorHAnsi" w:eastAsia="Times New Roman" w:hAnsiTheme="minorHAnsi" w:cstheme="minorHAnsi"/>
              </w:rPr>
            </w:pPr>
          </w:p>
          <w:p w14:paraId="7BB3F190" w14:textId="211500D6" w:rsidR="00FC7D95" w:rsidRPr="00FC7D95" w:rsidRDefault="00FC7D95" w:rsidP="00FC7D95">
            <w:pPr>
              <w:spacing w:line="240" w:lineRule="auto"/>
              <w:ind w:hanging="2"/>
              <w:jc w:val="both"/>
              <w:rPr>
                <w:rFonts w:asciiTheme="minorHAnsi" w:eastAsia="Times New Roman" w:hAnsiTheme="minorHAnsi" w:cstheme="minorHAnsi"/>
                <w:b/>
              </w:rPr>
            </w:pPr>
            <w:r w:rsidRPr="00FC7D95">
              <w:rPr>
                <w:rFonts w:asciiTheme="minorHAnsi" w:eastAsia="Times New Roman" w:hAnsiTheme="minorHAnsi" w:cstheme="minorHAnsi"/>
                <w:b/>
              </w:rPr>
              <w:t>Koszty ustanowienia systemu wsparcia:</w:t>
            </w:r>
          </w:p>
          <w:p w14:paraId="0A0D7CC9" w14:textId="1C5D3CEF" w:rsidR="00FC7D95" w:rsidRPr="00FC7D95" w:rsidRDefault="00FC7D95" w:rsidP="00FC7D95">
            <w:pPr>
              <w:pStyle w:val="Akapitzlist"/>
              <w:numPr>
                <w:ilvl w:val="0"/>
                <w:numId w:val="24"/>
              </w:numPr>
              <w:spacing w:line="240" w:lineRule="auto"/>
              <w:ind w:left="0"/>
              <w:jc w:val="both"/>
              <w:rPr>
                <w:rFonts w:asciiTheme="minorHAnsi" w:eastAsia="Times New Roman" w:hAnsiTheme="minorHAnsi" w:cstheme="minorHAnsi"/>
                <w:b/>
                <w:bCs/>
              </w:rPr>
            </w:pPr>
            <w:r w:rsidRPr="00FC7D95">
              <w:rPr>
                <w:rFonts w:asciiTheme="minorHAnsi" w:eastAsia="Times New Roman" w:hAnsiTheme="minorHAnsi" w:cstheme="minorHAnsi"/>
                <w:b/>
                <w:bCs/>
              </w:rPr>
              <w:t>a) Wynagrodzenia</w:t>
            </w:r>
          </w:p>
          <w:p w14:paraId="6890F4F3" w14:textId="0A42309D" w:rsidR="00FC7D95" w:rsidRPr="00FC7D95" w:rsidRDefault="00FC7D95" w:rsidP="00FC7D95">
            <w:pPr>
              <w:spacing w:line="240" w:lineRule="auto"/>
              <w:jc w:val="both"/>
              <w:rPr>
                <w:rFonts w:asciiTheme="minorHAnsi" w:eastAsia="Times New Roman" w:hAnsiTheme="minorHAnsi" w:cstheme="minorHAnsi"/>
              </w:rPr>
            </w:pPr>
            <w:r w:rsidRPr="00FC7D95">
              <w:rPr>
                <w:rFonts w:asciiTheme="minorHAnsi" w:eastAsia="Times New Roman" w:hAnsiTheme="minorHAnsi" w:cstheme="minorHAnsi"/>
              </w:rPr>
              <w:t xml:space="preserve">- Liczba asystentów prawnych </w:t>
            </w:r>
            <w:r w:rsidRPr="00FC7D95">
              <w:rPr>
                <w:rFonts w:asciiTheme="minorHAnsi" w:eastAsia="Times New Roman" w:hAnsiTheme="minorHAnsi" w:cstheme="minorHAnsi"/>
                <w:b/>
                <w:bCs/>
              </w:rPr>
              <w:t>92 tys.</w:t>
            </w:r>
            <w:r w:rsidRPr="00FC7D95">
              <w:rPr>
                <w:rFonts w:asciiTheme="minorHAnsi" w:eastAsia="Times New Roman" w:hAnsiTheme="minorHAnsi" w:cstheme="minorHAnsi"/>
              </w:rPr>
              <w:t xml:space="preserve"> – łączna kwota wynagrodzeń w ciągu 10 lat wynosi </w:t>
            </w:r>
            <w:r w:rsidRPr="00FC7D95">
              <w:rPr>
                <w:rFonts w:asciiTheme="minorHAnsi" w:eastAsia="Times New Roman" w:hAnsiTheme="minorHAnsi" w:cstheme="minorHAnsi"/>
                <w:b/>
                <w:bCs/>
              </w:rPr>
              <w:t>3 608,38 mln zł.</w:t>
            </w:r>
            <w:r w:rsidRPr="00FC7D95">
              <w:rPr>
                <w:rFonts w:asciiTheme="minorHAnsi" w:eastAsia="Times New Roman" w:hAnsiTheme="minorHAnsi" w:cstheme="minorHAnsi"/>
              </w:rPr>
              <w:t xml:space="preserve"> </w:t>
            </w:r>
          </w:p>
          <w:p w14:paraId="2A282027" w14:textId="23ED614C" w:rsidR="00FC7D95" w:rsidRPr="00FC7D95" w:rsidRDefault="00FC7D95" w:rsidP="00FC7D95">
            <w:pPr>
              <w:spacing w:line="240" w:lineRule="auto"/>
              <w:jc w:val="both"/>
              <w:rPr>
                <w:rFonts w:asciiTheme="minorHAnsi" w:eastAsia="Times New Roman" w:hAnsiTheme="minorHAnsi" w:cstheme="minorHAnsi"/>
              </w:rPr>
            </w:pPr>
            <w:r w:rsidRPr="00FC7D95">
              <w:rPr>
                <w:rFonts w:asciiTheme="minorHAnsi" w:eastAsia="Times New Roman" w:hAnsiTheme="minorHAnsi" w:cstheme="minorHAnsi"/>
              </w:rPr>
              <w:t xml:space="preserve">- Liczba pełnomocników wspierających </w:t>
            </w:r>
            <w:r w:rsidRPr="00FC7D95">
              <w:rPr>
                <w:rFonts w:asciiTheme="minorHAnsi" w:eastAsia="Times New Roman" w:hAnsiTheme="minorHAnsi" w:cstheme="minorHAnsi"/>
                <w:b/>
                <w:bCs/>
              </w:rPr>
              <w:t>99 tys.</w:t>
            </w:r>
            <w:r w:rsidRPr="00FC7D95">
              <w:rPr>
                <w:rFonts w:asciiTheme="minorHAnsi" w:eastAsia="Times New Roman" w:hAnsiTheme="minorHAnsi" w:cstheme="minorHAnsi"/>
              </w:rPr>
              <w:t xml:space="preserve"> – łączna kwota wynagrodzeń w ciągu 10 lat wynosi </w:t>
            </w:r>
            <w:r w:rsidRPr="00FC7D95">
              <w:rPr>
                <w:rFonts w:asciiTheme="minorHAnsi" w:eastAsia="Times New Roman" w:hAnsiTheme="minorHAnsi" w:cstheme="minorHAnsi"/>
                <w:b/>
                <w:bCs/>
              </w:rPr>
              <w:t>3 765,15 mln zł,</w:t>
            </w:r>
          </w:p>
          <w:p w14:paraId="6FD59A82" w14:textId="67A1FF4A" w:rsidR="00FC7D95" w:rsidRPr="00FC7D95" w:rsidRDefault="00FC7D95" w:rsidP="00FC7D95">
            <w:pPr>
              <w:spacing w:line="240" w:lineRule="auto"/>
              <w:jc w:val="both"/>
              <w:rPr>
                <w:rFonts w:asciiTheme="minorHAnsi" w:eastAsia="Times New Roman" w:hAnsiTheme="minorHAnsi" w:cstheme="minorHAnsi"/>
                <w:b/>
                <w:bCs/>
              </w:rPr>
            </w:pPr>
            <w:r w:rsidRPr="00FC7D95">
              <w:rPr>
                <w:rFonts w:asciiTheme="minorHAnsi" w:eastAsia="Times New Roman" w:hAnsiTheme="minorHAnsi" w:cstheme="minorHAnsi"/>
              </w:rPr>
              <w:t xml:space="preserve">- Liczba pełnomocników na przyszłość – brak wpływu na budżet państwa / JST. </w:t>
            </w:r>
            <w:r w:rsidRPr="00FC7D95">
              <w:rPr>
                <w:rFonts w:asciiTheme="minorHAnsi" w:eastAsia="Times New Roman" w:hAnsiTheme="minorHAnsi" w:cstheme="minorHAnsi"/>
                <w:b/>
                <w:bCs/>
              </w:rPr>
              <w:t>Koszty związane z ustanowieniem pełnomocników na przyszłość ponosi mocodawca.</w:t>
            </w:r>
          </w:p>
          <w:p w14:paraId="205338EF" w14:textId="77777777" w:rsidR="00FC7D95" w:rsidRPr="00FC7D95" w:rsidRDefault="00FC7D95" w:rsidP="00FC7D95">
            <w:pPr>
              <w:spacing w:line="240" w:lineRule="auto"/>
              <w:jc w:val="both"/>
              <w:rPr>
                <w:rFonts w:asciiTheme="minorHAnsi" w:eastAsia="Times New Roman" w:hAnsiTheme="minorHAnsi" w:cstheme="minorHAnsi"/>
                <w:b/>
                <w:bCs/>
              </w:rPr>
            </w:pPr>
          </w:p>
          <w:p w14:paraId="2CC826FC" w14:textId="67CDFB0B" w:rsidR="00FC7D95" w:rsidRPr="00FC7D95" w:rsidRDefault="00FC7D95" w:rsidP="00FC7D95">
            <w:pPr>
              <w:spacing w:line="240" w:lineRule="auto"/>
              <w:jc w:val="both"/>
              <w:rPr>
                <w:rFonts w:asciiTheme="minorHAnsi" w:eastAsia="Times New Roman" w:hAnsiTheme="minorHAnsi" w:cstheme="minorHAnsi"/>
                <w:b/>
                <w:bCs/>
              </w:rPr>
            </w:pPr>
            <w:r w:rsidRPr="00FC7D95">
              <w:rPr>
                <w:rFonts w:asciiTheme="minorHAnsi" w:eastAsia="Times New Roman" w:hAnsiTheme="minorHAnsi" w:cstheme="minorHAnsi"/>
                <w:b/>
                <w:bCs/>
              </w:rPr>
              <w:t>Założenia</w:t>
            </w:r>
          </w:p>
          <w:p w14:paraId="7ED5A1DA" w14:textId="77777777" w:rsidR="00FC7D95" w:rsidRPr="00FC7D95" w:rsidRDefault="00FC7D95" w:rsidP="00FC7D95">
            <w:pPr>
              <w:spacing w:line="240" w:lineRule="auto"/>
              <w:jc w:val="both"/>
              <w:rPr>
                <w:rFonts w:asciiTheme="minorHAnsi" w:eastAsia="Times New Roman" w:hAnsiTheme="minorHAnsi" w:cstheme="minorHAnsi"/>
                <w:b/>
                <w:bCs/>
              </w:rPr>
            </w:pPr>
          </w:p>
          <w:p w14:paraId="69750B3E" w14:textId="20554223" w:rsidR="00FC7D95" w:rsidRPr="00FC7D95" w:rsidRDefault="00FC7D95" w:rsidP="00FC7D95">
            <w:pPr>
              <w:spacing w:line="240" w:lineRule="auto"/>
              <w:jc w:val="both"/>
              <w:rPr>
                <w:rFonts w:asciiTheme="minorHAnsi" w:eastAsia="Times New Roman" w:hAnsiTheme="minorHAnsi" w:cstheme="minorHAnsi"/>
                <w:b/>
                <w:bCs/>
              </w:rPr>
            </w:pPr>
            <w:r w:rsidRPr="00FC7D95">
              <w:rPr>
                <w:rFonts w:asciiTheme="minorHAnsi" w:eastAsia="Times New Roman" w:hAnsiTheme="minorHAnsi" w:cstheme="minorHAnsi"/>
                <w:b/>
                <w:bCs/>
              </w:rPr>
              <w:t>Rozkład liczby pełnomocników wspierających i asystentów prawnych w latach 2025-2034 prezentuje poniższa tabelka</w:t>
            </w:r>
          </w:p>
          <w:p w14:paraId="31463666" w14:textId="77777777" w:rsidR="00FC7D95" w:rsidRPr="00FC7D95" w:rsidRDefault="00FC7D95" w:rsidP="00FC7D95">
            <w:pPr>
              <w:spacing w:line="240" w:lineRule="auto"/>
              <w:jc w:val="both"/>
              <w:rPr>
                <w:rFonts w:asciiTheme="minorHAnsi" w:eastAsia="Times New Roman" w:hAnsiTheme="minorHAnsi" w:cstheme="minorHAnsi"/>
                <w:b/>
                <w:bCs/>
              </w:rPr>
            </w:pPr>
          </w:p>
          <w:tbl>
            <w:tblPr>
              <w:tblW w:w="7631" w:type="dxa"/>
              <w:tblLayout w:type="fixed"/>
              <w:tblCellMar>
                <w:left w:w="70" w:type="dxa"/>
                <w:right w:w="70" w:type="dxa"/>
              </w:tblCellMar>
              <w:tblLook w:val="04A0" w:firstRow="1" w:lastRow="0" w:firstColumn="1" w:lastColumn="0" w:noHBand="0" w:noVBand="1"/>
            </w:tblPr>
            <w:tblGrid>
              <w:gridCol w:w="1084"/>
              <w:gridCol w:w="812"/>
              <w:gridCol w:w="713"/>
              <w:gridCol w:w="770"/>
              <w:gridCol w:w="698"/>
              <w:gridCol w:w="523"/>
              <w:gridCol w:w="594"/>
              <w:gridCol w:w="640"/>
              <w:gridCol w:w="640"/>
              <w:gridCol w:w="616"/>
              <w:gridCol w:w="541"/>
            </w:tblGrid>
            <w:tr w:rsidR="00FC7D95" w:rsidRPr="00FC7D95" w14:paraId="1182180D" w14:textId="77777777" w:rsidTr="00AF06F0">
              <w:trPr>
                <w:trHeight w:val="414"/>
              </w:trPr>
              <w:tc>
                <w:tcPr>
                  <w:tcW w:w="1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ACE5B8" w14:textId="77777777" w:rsidR="00FC7D95" w:rsidRPr="00FC7D95" w:rsidRDefault="00FC7D95" w:rsidP="00FC7D95">
                  <w:pPr>
                    <w:spacing w:line="240" w:lineRule="auto"/>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 </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14:paraId="21F596CB" w14:textId="77777777" w:rsidR="00FC7D95" w:rsidRPr="00FC7D95" w:rsidRDefault="00FC7D95" w:rsidP="00FC7D95">
                  <w:pPr>
                    <w:spacing w:line="240" w:lineRule="auto"/>
                    <w:jc w:val="right"/>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2025</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14:paraId="65A6A024" w14:textId="77777777" w:rsidR="00FC7D95" w:rsidRPr="00FC7D95" w:rsidRDefault="00FC7D95" w:rsidP="00FC7D95">
                  <w:pPr>
                    <w:spacing w:line="240" w:lineRule="auto"/>
                    <w:jc w:val="right"/>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2026</w:t>
                  </w:r>
                </w:p>
              </w:tc>
              <w:tc>
                <w:tcPr>
                  <w:tcW w:w="770" w:type="dxa"/>
                  <w:tcBorders>
                    <w:top w:val="single" w:sz="4" w:space="0" w:color="auto"/>
                    <w:left w:val="nil"/>
                    <w:bottom w:val="single" w:sz="4" w:space="0" w:color="auto"/>
                    <w:right w:val="single" w:sz="4" w:space="0" w:color="auto"/>
                  </w:tcBorders>
                  <w:shd w:val="clear" w:color="auto" w:fill="auto"/>
                  <w:noWrap/>
                  <w:vAlign w:val="bottom"/>
                  <w:hideMark/>
                </w:tcPr>
                <w:p w14:paraId="445A8056" w14:textId="77777777" w:rsidR="00FC7D95" w:rsidRPr="00FC7D95" w:rsidRDefault="00FC7D95" w:rsidP="00FC7D95">
                  <w:pPr>
                    <w:spacing w:line="240" w:lineRule="auto"/>
                    <w:jc w:val="right"/>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2027</w:t>
                  </w:r>
                </w:p>
              </w:tc>
              <w:tc>
                <w:tcPr>
                  <w:tcW w:w="698" w:type="dxa"/>
                  <w:tcBorders>
                    <w:top w:val="single" w:sz="4" w:space="0" w:color="auto"/>
                    <w:left w:val="nil"/>
                    <w:bottom w:val="single" w:sz="4" w:space="0" w:color="auto"/>
                    <w:right w:val="single" w:sz="4" w:space="0" w:color="auto"/>
                  </w:tcBorders>
                  <w:shd w:val="clear" w:color="auto" w:fill="auto"/>
                  <w:noWrap/>
                  <w:vAlign w:val="bottom"/>
                  <w:hideMark/>
                </w:tcPr>
                <w:p w14:paraId="5EFA355D" w14:textId="77777777" w:rsidR="00FC7D95" w:rsidRPr="00FC7D95" w:rsidRDefault="00FC7D95" w:rsidP="00FC7D95">
                  <w:pPr>
                    <w:spacing w:line="240" w:lineRule="auto"/>
                    <w:jc w:val="right"/>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2028</w:t>
                  </w:r>
                </w:p>
              </w:tc>
              <w:tc>
                <w:tcPr>
                  <w:tcW w:w="523" w:type="dxa"/>
                  <w:tcBorders>
                    <w:top w:val="single" w:sz="4" w:space="0" w:color="auto"/>
                    <w:left w:val="nil"/>
                    <w:bottom w:val="single" w:sz="4" w:space="0" w:color="auto"/>
                    <w:right w:val="single" w:sz="4" w:space="0" w:color="auto"/>
                  </w:tcBorders>
                  <w:shd w:val="clear" w:color="auto" w:fill="auto"/>
                  <w:noWrap/>
                  <w:vAlign w:val="bottom"/>
                  <w:hideMark/>
                </w:tcPr>
                <w:p w14:paraId="3FDE0D9F" w14:textId="77777777" w:rsidR="00FC7D95" w:rsidRPr="00FC7D95" w:rsidRDefault="00FC7D95" w:rsidP="00FC7D95">
                  <w:pPr>
                    <w:spacing w:line="240" w:lineRule="auto"/>
                    <w:jc w:val="right"/>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2029</w:t>
                  </w:r>
                </w:p>
              </w:tc>
              <w:tc>
                <w:tcPr>
                  <w:tcW w:w="594" w:type="dxa"/>
                  <w:tcBorders>
                    <w:top w:val="single" w:sz="4" w:space="0" w:color="auto"/>
                    <w:left w:val="nil"/>
                    <w:bottom w:val="single" w:sz="4" w:space="0" w:color="auto"/>
                    <w:right w:val="single" w:sz="4" w:space="0" w:color="auto"/>
                  </w:tcBorders>
                  <w:shd w:val="clear" w:color="auto" w:fill="auto"/>
                  <w:noWrap/>
                  <w:vAlign w:val="bottom"/>
                  <w:hideMark/>
                </w:tcPr>
                <w:p w14:paraId="44BD68A0" w14:textId="77777777" w:rsidR="00FC7D95" w:rsidRPr="00FC7D95" w:rsidRDefault="00FC7D95" w:rsidP="00FC7D95">
                  <w:pPr>
                    <w:spacing w:line="240" w:lineRule="auto"/>
                    <w:jc w:val="right"/>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2030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31639020" w14:textId="77777777" w:rsidR="00FC7D95" w:rsidRPr="00FC7D95" w:rsidRDefault="00FC7D95" w:rsidP="00FC7D95">
                  <w:pPr>
                    <w:spacing w:line="240" w:lineRule="auto"/>
                    <w:jc w:val="right"/>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2031</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539CF8D6" w14:textId="77777777" w:rsidR="00FC7D95" w:rsidRPr="00FC7D95" w:rsidRDefault="00FC7D95" w:rsidP="00FC7D95">
                  <w:pPr>
                    <w:spacing w:line="240" w:lineRule="auto"/>
                    <w:jc w:val="right"/>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2032</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14:paraId="48030215" w14:textId="77777777" w:rsidR="00FC7D95" w:rsidRPr="00FC7D95" w:rsidRDefault="00FC7D95" w:rsidP="00FC7D95">
                  <w:pPr>
                    <w:spacing w:line="240" w:lineRule="auto"/>
                    <w:jc w:val="right"/>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2033</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14:paraId="3673BF63" w14:textId="77777777" w:rsidR="00FC7D95" w:rsidRPr="00FC7D95" w:rsidRDefault="00FC7D95" w:rsidP="00FC7D95">
                  <w:pPr>
                    <w:spacing w:line="240" w:lineRule="auto"/>
                    <w:jc w:val="right"/>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2034</w:t>
                  </w:r>
                </w:p>
              </w:tc>
            </w:tr>
            <w:tr w:rsidR="00FC7D95" w:rsidRPr="00FC7D95" w14:paraId="36732F2B" w14:textId="77777777" w:rsidTr="00AF06F0">
              <w:trPr>
                <w:trHeight w:val="414"/>
              </w:trPr>
              <w:tc>
                <w:tcPr>
                  <w:tcW w:w="1084" w:type="dxa"/>
                  <w:tcBorders>
                    <w:top w:val="nil"/>
                    <w:left w:val="single" w:sz="4" w:space="0" w:color="auto"/>
                    <w:bottom w:val="single" w:sz="4" w:space="0" w:color="auto"/>
                    <w:right w:val="single" w:sz="4" w:space="0" w:color="auto"/>
                  </w:tcBorders>
                  <w:shd w:val="clear" w:color="auto" w:fill="auto"/>
                  <w:vAlign w:val="bottom"/>
                  <w:hideMark/>
                </w:tcPr>
                <w:p w14:paraId="46E17174" w14:textId="409D4643" w:rsidR="00FC7D95" w:rsidRPr="00FC7D95" w:rsidRDefault="00FC7D95" w:rsidP="00FC7D95">
                  <w:pPr>
                    <w:spacing w:line="240" w:lineRule="auto"/>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 </w:t>
                  </w:r>
                </w:p>
              </w:tc>
              <w:tc>
                <w:tcPr>
                  <w:tcW w:w="812" w:type="dxa"/>
                  <w:tcBorders>
                    <w:top w:val="nil"/>
                    <w:left w:val="nil"/>
                    <w:bottom w:val="single" w:sz="4" w:space="0" w:color="auto"/>
                    <w:right w:val="single" w:sz="4" w:space="0" w:color="auto"/>
                  </w:tcBorders>
                  <w:shd w:val="clear" w:color="auto" w:fill="auto"/>
                  <w:noWrap/>
                  <w:vAlign w:val="bottom"/>
                  <w:hideMark/>
                </w:tcPr>
                <w:p w14:paraId="51CA5AF6" w14:textId="77777777" w:rsidR="00FC7D95" w:rsidRPr="00FC7D95" w:rsidRDefault="00FC7D95" w:rsidP="00FC7D95">
                  <w:pPr>
                    <w:spacing w:line="240" w:lineRule="auto"/>
                    <w:jc w:val="right"/>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1</w:t>
                  </w:r>
                </w:p>
              </w:tc>
              <w:tc>
                <w:tcPr>
                  <w:tcW w:w="713" w:type="dxa"/>
                  <w:tcBorders>
                    <w:top w:val="nil"/>
                    <w:left w:val="nil"/>
                    <w:bottom w:val="single" w:sz="4" w:space="0" w:color="auto"/>
                    <w:right w:val="single" w:sz="4" w:space="0" w:color="auto"/>
                  </w:tcBorders>
                  <w:shd w:val="clear" w:color="auto" w:fill="auto"/>
                  <w:noWrap/>
                  <w:vAlign w:val="bottom"/>
                  <w:hideMark/>
                </w:tcPr>
                <w:p w14:paraId="5B1077D1" w14:textId="77777777" w:rsidR="00FC7D95" w:rsidRPr="00FC7D95" w:rsidRDefault="00FC7D95" w:rsidP="00FC7D95">
                  <w:pPr>
                    <w:spacing w:line="240" w:lineRule="auto"/>
                    <w:jc w:val="right"/>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2</w:t>
                  </w:r>
                </w:p>
              </w:tc>
              <w:tc>
                <w:tcPr>
                  <w:tcW w:w="770" w:type="dxa"/>
                  <w:tcBorders>
                    <w:top w:val="nil"/>
                    <w:left w:val="nil"/>
                    <w:bottom w:val="single" w:sz="4" w:space="0" w:color="auto"/>
                    <w:right w:val="single" w:sz="4" w:space="0" w:color="auto"/>
                  </w:tcBorders>
                  <w:shd w:val="clear" w:color="auto" w:fill="auto"/>
                  <w:noWrap/>
                  <w:vAlign w:val="bottom"/>
                  <w:hideMark/>
                </w:tcPr>
                <w:p w14:paraId="21D16EB6" w14:textId="77777777" w:rsidR="00FC7D95" w:rsidRPr="00FC7D95" w:rsidRDefault="00FC7D95" w:rsidP="00FC7D95">
                  <w:pPr>
                    <w:spacing w:line="240" w:lineRule="auto"/>
                    <w:jc w:val="right"/>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3</w:t>
                  </w:r>
                </w:p>
              </w:tc>
              <w:tc>
                <w:tcPr>
                  <w:tcW w:w="698" w:type="dxa"/>
                  <w:tcBorders>
                    <w:top w:val="nil"/>
                    <w:left w:val="nil"/>
                    <w:bottom w:val="single" w:sz="4" w:space="0" w:color="auto"/>
                    <w:right w:val="single" w:sz="4" w:space="0" w:color="auto"/>
                  </w:tcBorders>
                  <w:shd w:val="clear" w:color="auto" w:fill="auto"/>
                  <w:noWrap/>
                  <w:vAlign w:val="bottom"/>
                  <w:hideMark/>
                </w:tcPr>
                <w:p w14:paraId="7A90F12A" w14:textId="77777777" w:rsidR="00FC7D95" w:rsidRPr="00FC7D95" w:rsidRDefault="00FC7D95" w:rsidP="00FC7D95">
                  <w:pPr>
                    <w:spacing w:line="240" w:lineRule="auto"/>
                    <w:jc w:val="right"/>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4</w:t>
                  </w:r>
                </w:p>
              </w:tc>
              <w:tc>
                <w:tcPr>
                  <w:tcW w:w="523" w:type="dxa"/>
                  <w:tcBorders>
                    <w:top w:val="nil"/>
                    <w:left w:val="nil"/>
                    <w:bottom w:val="single" w:sz="4" w:space="0" w:color="auto"/>
                    <w:right w:val="single" w:sz="4" w:space="0" w:color="auto"/>
                  </w:tcBorders>
                  <w:shd w:val="clear" w:color="auto" w:fill="auto"/>
                  <w:noWrap/>
                  <w:vAlign w:val="bottom"/>
                  <w:hideMark/>
                </w:tcPr>
                <w:p w14:paraId="2580C92D" w14:textId="77777777" w:rsidR="00FC7D95" w:rsidRPr="00FC7D95" w:rsidRDefault="00FC7D95" w:rsidP="00FC7D95">
                  <w:pPr>
                    <w:spacing w:line="240" w:lineRule="auto"/>
                    <w:jc w:val="right"/>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5</w:t>
                  </w:r>
                </w:p>
              </w:tc>
              <w:tc>
                <w:tcPr>
                  <w:tcW w:w="594" w:type="dxa"/>
                  <w:tcBorders>
                    <w:top w:val="nil"/>
                    <w:left w:val="nil"/>
                    <w:bottom w:val="single" w:sz="4" w:space="0" w:color="auto"/>
                    <w:right w:val="single" w:sz="4" w:space="0" w:color="auto"/>
                  </w:tcBorders>
                  <w:shd w:val="clear" w:color="auto" w:fill="auto"/>
                  <w:noWrap/>
                  <w:vAlign w:val="bottom"/>
                  <w:hideMark/>
                </w:tcPr>
                <w:p w14:paraId="58B292FF" w14:textId="77777777" w:rsidR="00FC7D95" w:rsidRPr="00FC7D95" w:rsidRDefault="00FC7D95" w:rsidP="00FC7D95">
                  <w:pPr>
                    <w:spacing w:line="240" w:lineRule="auto"/>
                    <w:jc w:val="right"/>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6</w:t>
                  </w:r>
                </w:p>
              </w:tc>
              <w:tc>
                <w:tcPr>
                  <w:tcW w:w="640" w:type="dxa"/>
                  <w:tcBorders>
                    <w:top w:val="nil"/>
                    <w:left w:val="nil"/>
                    <w:bottom w:val="single" w:sz="4" w:space="0" w:color="auto"/>
                    <w:right w:val="single" w:sz="4" w:space="0" w:color="auto"/>
                  </w:tcBorders>
                  <w:shd w:val="clear" w:color="auto" w:fill="auto"/>
                  <w:noWrap/>
                  <w:vAlign w:val="bottom"/>
                  <w:hideMark/>
                </w:tcPr>
                <w:p w14:paraId="55BE1DB2" w14:textId="77777777" w:rsidR="00FC7D95" w:rsidRPr="00FC7D95" w:rsidRDefault="00FC7D95" w:rsidP="00FC7D95">
                  <w:pPr>
                    <w:spacing w:line="240" w:lineRule="auto"/>
                    <w:jc w:val="right"/>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7</w:t>
                  </w:r>
                </w:p>
              </w:tc>
              <w:tc>
                <w:tcPr>
                  <w:tcW w:w="640" w:type="dxa"/>
                  <w:tcBorders>
                    <w:top w:val="nil"/>
                    <w:left w:val="nil"/>
                    <w:bottom w:val="single" w:sz="4" w:space="0" w:color="auto"/>
                    <w:right w:val="single" w:sz="4" w:space="0" w:color="auto"/>
                  </w:tcBorders>
                  <w:shd w:val="clear" w:color="auto" w:fill="auto"/>
                  <w:noWrap/>
                  <w:vAlign w:val="bottom"/>
                  <w:hideMark/>
                </w:tcPr>
                <w:p w14:paraId="7986266E" w14:textId="77777777" w:rsidR="00FC7D95" w:rsidRPr="00FC7D95" w:rsidRDefault="00FC7D95" w:rsidP="00FC7D95">
                  <w:pPr>
                    <w:spacing w:line="240" w:lineRule="auto"/>
                    <w:jc w:val="right"/>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8</w:t>
                  </w:r>
                </w:p>
              </w:tc>
              <w:tc>
                <w:tcPr>
                  <w:tcW w:w="616" w:type="dxa"/>
                  <w:tcBorders>
                    <w:top w:val="nil"/>
                    <w:left w:val="nil"/>
                    <w:bottom w:val="single" w:sz="4" w:space="0" w:color="auto"/>
                    <w:right w:val="single" w:sz="4" w:space="0" w:color="auto"/>
                  </w:tcBorders>
                  <w:shd w:val="clear" w:color="auto" w:fill="auto"/>
                  <w:noWrap/>
                  <w:vAlign w:val="bottom"/>
                  <w:hideMark/>
                </w:tcPr>
                <w:p w14:paraId="2A7D31F7" w14:textId="77777777" w:rsidR="00FC7D95" w:rsidRPr="00FC7D95" w:rsidRDefault="00FC7D95" w:rsidP="00FC7D95">
                  <w:pPr>
                    <w:spacing w:line="240" w:lineRule="auto"/>
                    <w:jc w:val="right"/>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9</w:t>
                  </w:r>
                </w:p>
              </w:tc>
              <w:tc>
                <w:tcPr>
                  <w:tcW w:w="541" w:type="dxa"/>
                  <w:tcBorders>
                    <w:top w:val="nil"/>
                    <w:left w:val="nil"/>
                    <w:bottom w:val="single" w:sz="4" w:space="0" w:color="auto"/>
                    <w:right w:val="single" w:sz="4" w:space="0" w:color="auto"/>
                  </w:tcBorders>
                  <w:shd w:val="clear" w:color="auto" w:fill="auto"/>
                  <w:noWrap/>
                  <w:vAlign w:val="bottom"/>
                  <w:hideMark/>
                </w:tcPr>
                <w:p w14:paraId="1FF288B4" w14:textId="77777777" w:rsidR="00FC7D95" w:rsidRPr="00FC7D95" w:rsidRDefault="00FC7D95" w:rsidP="00FC7D95">
                  <w:pPr>
                    <w:spacing w:line="240" w:lineRule="auto"/>
                    <w:jc w:val="right"/>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10</w:t>
                  </w:r>
                </w:p>
              </w:tc>
            </w:tr>
            <w:tr w:rsidR="00FC7D95" w:rsidRPr="00FC7D95" w14:paraId="04023962" w14:textId="77777777" w:rsidTr="00AF06F0">
              <w:trPr>
                <w:trHeight w:val="322"/>
              </w:trPr>
              <w:tc>
                <w:tcPr>
                  <w:tcW w:w="1084" w:type="dxa"/>
                  <w:tcBorders>
                    <w:top w:val="nil"/>
                    <w:left w:val="single" w:sz="4" w:space="0" w:color="auto"/>
                    <w:bottom w:val="single" w:sz="4" w:space="0" w:color="auto"/>
                    <w:right w:val="single" w:sz="4" w:space="0" w:color="auto"/>
                  </w:tcBorders>
                  <w:shd w:val="clear" w:color="auto" w:fill="auto"/>
                  <w:vAlign w:val="bottom"/>
                  <w:hideMark/>
                </w:tcPr>
                <w:p w14:paraId="7BE54CEC" w14:textId="77777777" w:rsidR="00FC7D95" w:rsidRPr="00FC7D95" w:rsidRDefault="00FC7D95" w:rsidP="00FC7D95">
                  <w:pPr>
                    <w:spacing w:line="240" w:lineRule="auto"/>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pełnomocnik</w:t>
                  </w:r>
                </w:p>
              </w:tc>
              <w:tc>
                <w:tcPr>
                  <w:tcW w:w="812" w:type="dxa"/>
                  <w:tcBorders>
                    <w:top w:val="nil"/>
                    <w:left w:val="nil"/>
                    <w:bottom w:val="single" w:sz="4" w:space="0" w:color="auto"/>
                    <w:right w:val="single" w:sz="4" w:space="0" w:color="auto"/>
                  </w:tcBorders>
                  <w:shd w:val="clear" w:color="auto" w:fill="auto"/>
                  <w:noWrap/>
                  <w:vAlign w:val="bottom"/>
                  <w:hideMark/>
                </w:tcPr>
                <w:p w14:paraId="26C504CE" w14:textId="77777777" w:rsidR="00FC7D95" w:rsidRPr="00FC7D95" w:rsidRDefault="00FC7D95" w:rsidP="00FC7D95">
                  <w:pPr>
                    <w:spacing w:line="240" w:lineRule="auto"/>
                    <w:jc w:val="right"/>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23000</w:t>
                  </w:r>
                </w:p>
              </w:tc>
              <w:tc>
                <w:tcPr>
                  <w:tcW w:w="713" w:type="dxa"/>
                  <w:tcBorders>
                    <w:top w:val="nil"/>
                    <w:left w:val="nil"/>
                    <w:bottom w:val="single" w:sz="4" w:space="0" w:color="auto"/>
                    <w:right w:val="single" w:sz="4" w:space="0" w:color="auto"/>
                  </w:tcBorders>
                  <w:shd w:val="clear" w:color="auto" w:fill="auto"/>
                  <w:noWrap/>
                  <w:vAlign w:val="bottom"/>
                  <w:hideMark/>
                </w:tcPr>
                <w:p w14:paraId="6F560B1B" w14:textId="77777777" w:rsidR="00FC7D95" w:rsidRPr="00FC7D95" w:rsidRDefault="00FC7D95" w:rsidP="00FC7D95">
                  <w:pPr>
                    <w:spacing w:line="240" w:lineRule="auto"/>
                    <w:jc w:val="right"/>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21000</w:t>
                  </w:r>
                </w:p>
              </w:tc>
              <w:tc>
                <w:tcPr>
                  <w:tcW w:w="770" w:type="dxa"/>
                  <w:tcBorders>
                    <w:top w:val="nil"/>
                    <w:left w:val="nil"/>
                    <w:bottom w:val="single" w:sz="4" w:space="0" w:color="auto"/>
                    <w:right w:val="single" w:sz="4" w:space="0" w:color="auto"/>
                  </w:tcBorders>
                  <w:shd w:val="clear" w:color="auto" w:fill="auto"/>
                  <w:noWrap/>
                  <w:vAlign w:val="bottom"/>
                  <w:hideMark/>
                </w:tcPr>
                <w:p w14:paraId="52F4F475" w14:textId="77777777" w:rsidR="00FC7D95" w:rsidRPr="00FC7D95" w:rsidRDefault="00FC7D95" w:rsidP="00FC7D95">
                  <w:pPr>
                    <w:spacing w:line="240" w:lineRule="auto"/>
                    <w:jc w:val="right"/>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15000</w:t>
                  </w:r>
                </w:p>
              </w:tc>
              <w:tc>
                <w:tcPr>
                  <w:tcW w:w="698" w:type="dxa"/>
                  <w:tcBorders>
                    <w:top w:val="nil"/>
                    <w:left w:val="nil"/>
                    <w:bottom w:val="single" w:sz="4" w:space="0" w:color="auto"/>
                    <w:right w:val="single" w:sz="4" w:space="0" w:color="auto"/>
                  </w:tcBorders>
                  <w:shd w:val="clear" w:color="auto" w:fill="auto"/>
                  <w:noWrap/>
                  <w:vAlign w:val="bottom"/>
                  <w:hideMark/>
                </w:tcPr>
                <w:p w14:paraId="1A530AD7" w14:textId="77777777" w:rsidR="00FC7D95" w:rsidRPr="00FC7D95" w:rsidRDefault="00FC7D95" w:rsidP="00FC7D95">
                  <w:pPr>
                    <w:spacing w:line="240" w:lineRule="auto"/>
                    <w:jc w:val="right"/>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10000</w:t>
                  </w:r>
                </w:p>
              </w:tc>
              <w:tc>
                <w:tcPr>
                  <w:tcW w:w="523" w:type="dxa"/>
                  <w:tcBorders>
                    <w:top w:val="nil"/>
                    <w:left w:val="nil"/>
                    <w:bottom w:val="single" w:sz="4" w:space="0" w:color="auto"/>
                    <w:right w:val="single" w:sz="4" w:space="0" w:color="auto"/>
                  </w:tcBorders>
                  <w:shd w:val="clear" w:color="auto" w:fill="auto"/>
                  <w:noWrap/>
                  <w:vAlign w:val="bottom"/>
                  <w:hideMark/>
                </w:tcPr>
                <w:p w14:paraId="7ED3A7E1" w14:textId="77777777" w:rsidR="00FC7D95" w:rsidRPr="00FC7D95" w:rsidRDefault="00FC7D95" w:rsidP="00FC7D95">
                  <w:pPr>
                    <w:spacing w:line="240" w:lineRule="auto"/>
                    <w:jc w:val="right"/>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5000</w:t>
                  </w:r>
                </w:p>
              </w:tc>
              <w:tc>
                <w:tcPr>
                  <w:tcW w:w="594" w:type="dxa"/>
                  <w:tcBorders>
                    <w:top w:val="nil"/>
                    <w:left w:val="nil"/>
                    <w:bottom w:val="single" w:sz="4" w:space="0" w:color="auto"/>
                    <w:right w:val="single" w:sz="4" w:space="0" w:color="auto"/>
                  </w:tcBorders>
                  <w:shd w:val="clear" w:color="auto" w:fill="auto"/>
                  <w:noWrap/>
                  <w:vAlign w:val="bottom"/>
                  <w:hideMark/>
                </w:tcPr>
                <w:p w14:paraId="18DC5169" w14:textId="77777777" w:rsidR="00FC7D95" w:rsidRPr="00FC7D95" w:rsidRDefault="00FC7D95" w:rsidP="00FC7D95">
                  <w:pPr>
                    <w:spacing w:line="240" w:lineRule="auto"/>
                    <w:jc w:val="right"/>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5000</w:t>
                  </w:r>
                </w:p>
              </w:tc>
              <w:tc>
                <w:tcPr>
                  <w:tcW w:w="640" w:type="dxa"/>
                  <w:tcBorders>
                    <w:top w:val="nil"/>
                    <w:left w:val="nil"/>
                    <w:bottom w:val="single" w:sz="4" w:space="0" w:color="auto"/>
                    <w:right w:val="single" w:sz="4" w:space="0" w:color="auto"/>
                  </w:tcBorders>
                  <w:shd w:val="clear" w:color="auto" w:fill="auto"/>
                  <w:noWrap/>
                  <w:vAlign w:val="bottom"/>
                  <w:hideMark/>
                </w:tcPr>
                <w:p w14:paraId="572BE78F" w14:textId="77777777" w:rsidR="00FC7D95" w:rsidRPr="00FC7D95" w:rsidRDefault="00FC7D95" w:rsidP="00FC7D95">
                  <w:pPr>
                    <w:spacing w:line="240" w:lineRule="auto"/>
                    <w:jc w:val="right"/>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5000</w:t>
                  </w:r>
                </w:p>
              </w:tc>
              <w:tc>
                <w:tcPr>
                  <w:tcW w:w="640" w:type="dxa"/>
                  <w:tcBorders>
                    <w:top w:val="nil"/>
                    <w:left w:val="nil"/>
                    <w:bottom w:val="single" w:sz="4" w:space="0" w:color="auto"/>
                    <w:right w:val="single" w:sz="4" w:space="0" w:color="auto"/>
                  </w:tcBorders>
                  <w:shd w:val="clear" w:color="auto" w:fill="auto"/>
                  <w:noWrap/>
                  <w:vAlign w:val="bottom"/>
                  <w:hideMark/>
                </w:tcPr>
                <w:p w14:paraId="4A5F3E8D" w14:textId="77777777" w:rsidR="00FC7D95" w:rsidRPr="00FC7D95" w:rsidRDefault="00FC7D95" w:rsidP="00FC7D95">
                  <w:pPr>
                    <w:spacing w:line="240" w:lineRule="auto"/>
                    <w:jc w:val="right"/>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5000</w:t>
                  </w:r>
                </w:p>
              </w:tc>
              <w:tc>
                <w:tcPr>
                  <w:tcW w:w="616" w:type="dxa"/>
                  <w:tcBorders>
                    <w:top w:val="nil"/>
                    <w:left w:val="nil"/>
                    <w:bottom w:val="single" w:sz="4" w:space="0" w:color="auto"/>
                    <w:right w:val="single" w:sz="4" w:space="0" w:color="auto"/>
                  </w:tcBorders>
                  <w:shd w:val="clear" w:color="auto" w:fill="auto"/>
                  <w:noWrap/>
                  <w:vAlign w:val="bottom"/>
                  <w:hideMark/>
                </w:tcPr>
                <w:p w14:paraId="42EF8CC0" w14:textId="77777777" w:rsidR="00FC7D95" w:rsidRPr="00FC7D95" w:rsidRDefault="00FC7D95" w:rsidP="00FC7D95">
                  <w:pPr>
                    <w:spacing w:line="240" w:lineRule="auto"/>
                    <w:jc w:val="right"/>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5000</w:t>
                  </w:r>
                </w:p>
              </w:tc>
              <w:tc>
                <w:tcPr>
                  <w:tcW w:w="541" w:type="dxa"/>
                  <w:tcBorders>
                    <w:top w:val="nil"/>
                    <w:left w:val="nil"/>
                    <w:bottom w:val="single" w:sz="4" w:space="0" w:color="auto"/>
                    <w:right w:val="single" w:sz="4" w:space="0" w:color="auto"/>
                  </w:tcBorders>
                  <w:shd w:val="clear" w:color="auto" w:fill="auto"/>
                  <w:noWrap/>
                  <w:vAlign w:val="bottom"/>
                  <w:hideMark/>
                </w:tcPr>
                <w:p w14:paraId="7AF7804E" w14:textId="77777777" w:rsidR="00FC7D95" w:rsidRPr="00FC7D95" w:rsidRDefault="00FC7D95" w:rsidP="00FC7D95">
                  <w:pPr>
                    <w:spacing w:line="240" w:lineRule="auto"/>
                    <w:jc w:val="right"/>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5000</w:t>
                  </w:r>
                </w:p>
              </w:tc>
            </w:tr>
            <w:tr w:rsidR="00FC7D95" w:rsidRPr="00FC7D95" w14:paraId="32394069" w14:textId="77777777" w:rsidTr="00AF06F0">
              <w:trPr>
                <w:trHeight w:val="414"/>
              </w:trPr>
              <w:tc>
                <w:tcPr>
                  <w:tcW w:w="1084" w:type="dxa"/>
                  <w:tcBorders>
                    <w:top w:val="nil"/>
                    <w:left w:val="single" w:sz="4" w:space="0" w:color="auto"/>
                    <w:bottom w:val="single" w:sz="4" w:space="0" w:color="auto"/>
                    <w:right w:val="single" w:sz="4" w:space="0" w:color="auto"/>
                  </w:tcBorders>
                  <w:shd w:val="clear" w:color="auto" w:fill="auto"/>
                  <w:vAlign w:val="bottom"/>
                  <w:hideMark/>
                </w:tcPr>
                <w:p w14:paraId="6460209E" w14:textId="77777777" w:rsidR="00FC7D95" w:rsidRPr="00FC7D95" w:rsidRDefault="00FC7D95" w:rsidP="00FC7D95">
                  <w:pPr>
                    <w:spacing w:line="240" w:lineRule="auto"/>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asystent</w:t>
                  </w:r>
                </w:p>
              </w:tc>
              <w:tc>
                <w:tcPr>
                  <w:tcW w:w="812" w:type="dxa"/>
                  <w:tcBorders>
                    <w:top w:val="nil"/>
                    <w:left w:val="nil"/>
                    <w:bottom w:val="single" w:sz="4" w:space="0" w:color="auto"/>
                    <w:right w:val="single" w:sz="4" w:space="0" w:color="auto"/>
                  </w:tcBorders>
                  <w:shd w:val="clear" w:color="auto" w:fill="auto"/>
                  <w:noWrap/>
                  <w:vAlign w:val="bottom"/>
                  <w:hideMark/>
                </w:tcPr>
                <w:p w14:paraId="56D03A31" w14:textId="77777777" w:rsidR="00FC7D95" w:rsidRPr="00FC7D95" w:rsidRDefault="00FC7D95" w:rsidP="00FC7D95">
                  <w:pPr>
                    <w:spacing w:line="240" w:lineRule="auto"/>
                    <w:jc w:val="right"/>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11000</w:t>
                  </w:r>
                </w:p>
              </w:tc>
              <w:tc>
                <w:tcPr>
                  <w:tcW w:w="713" w:type="dxa"/>
                  <w:tcBorders>
                    <w:top w:val="nil"/>
                    <w:left w:val="nil"/>
                    <w:bottom w:val="single" w:sz="4" w:space="0" w:color="auto"/>
                    <w:right w:val="single" w:sz="4" w:space="0" w:color="auto"/>
                  </w:tcBorders>
                  <w:shd w:val="clear" w:color="auto" w:fill="auto"/>
                  <w:noWrap/>
                  <w:vAlign w:val="bottom"/>
                  <w:hideMark/>
                </w:tcPr>
                <w:p w14:paraId="0D55601E" w14:textId="77777777" w:rsidR="00FC7D95" w:rsidRPr="00FC7D95" w:rsidRDefault="00FC7D95" w:rsidP="00FC7D95">
                  <w:pPr>
                    <w:spacing w:line="240" w:lineRule="auto"/>
                    <w:jc w:val="right"/>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12000</w:t>
                  </w:r>
                </w:p>
              </w:tc>
              <w:tc>
                <w:tcPr>
                  <w:tcW w:w="770" w:type="dxa"/>
                  <w:tcBorders>
                    <w:top w:val="nil"/>
                    <w:left w:val="nil"/>
                    <w:bottom w:val="single" w:sz="4" w:space="0" w:color="auto"/>
                    <w:right w:val="single" w:sz="4" w:space="0" w:color="auto"/>
                  </w:tcBorders>
                  <w:shd w:val="clear" w:color="auto" w:fill="auto"/>
                  <w:noWrap/>
                  <w:vAlign w:val="bottom"/>
                  <w:hideMark/>
                </w:tcPr>
                <w:p w14:paraId="1F550B1C" w14:textId="77777777" w:rsidR="00FC7D95" w:rsidRPr="00FC7D95" w:rsidRDefault="00FC7D95" w:rsidP="00FC7D95">
                  <w:pPr>
                    <w:spacing w:line="240" w:lineRule="auto"/>
                    <w:jc w:val="right"/>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13000</w:t>
                  </w:r>
                </w:p>
              </w:tc>
              <w:tc>
                <w:tcPr>
                  <w:tcW w:w="698" w:type="dxa"/>
                  <w:tcBorders>
                    <w:top w:val="nil"/>
                    <w:left w:val="nil"/>
                    <w:bottom w:val="single" w:sz="4" w:space="0" w:color="auto"/>
                    <w:right w:val="single" w:sz="4" w:space="0" w:color="auto"/>
                  </w:tcBorders>
                  <w:shd w:val="clear" w:color="auto" w:fill="auto"/>
                  <w:noWrap/>
                  <w:vAlign w:val="bottom"/>
                  <w:hideMark/>
                </w:tcPr>
                <w:p w14:paraId="1C97EB18" w14:textId="77777777" w:rsidR="00FC7D95" w:rsidRPr="00FC7D95" w:rsidRDefault="00FC7D95" w:rsidP="00FC7D95">
                  <w:pPr>
                    <w:spacing w:line="240" w:lineRule="auto"/>
                    <w:jc w:val="right"/>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14000</w:t>
                  </w:r>
                </w:p>
              </w:tc>
              <w:tc>
                <w:tcPr>
                  <w:tcW w:w="523" w:type="dxa"/>
                  <w:tcBorders>
                    <w:top w:val="nil"/>
                    <w:left w:val="nil"/>
                    <w:bottom w:val="single" w:sz="4" w:space="0" w:color="auto"/>
                    <w:right w:val="single" w:sz="4" w:space="0" w:color="auto"/>
                  </w:tcBorders>
                  <w:shd w:val="clear" w:color="auto" w:fill="auto"/>
                  <w:noWrap/>
                  <w:vAlign w:val="bottom"/>
                  <w:hideMark/>
                </w:tcPr>
                <w:p w14:paraId="0B22BADC" w14:textId="77777777" w:rsidR="00FC7D95" w:rsidRPr="00FC7D95" w:rsidRDefault="00FC7D95" w:rsidP="00FC7D95">
                  <w:pPr>
                    <w:spacing w:line="240" w:lineRule="auto"/>
                    <w:jc w:val="right"/>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7000</w:t>
                  </w:r>
                </w:p>
              </w:tc>
              <w:tc>
                <w:tcPr>
                  <w:tcW w:w="594" w:type="dxa"/>
                  <w:tcBorders>
                    <w:top w:val="nil"/>
                    <w:left w:val="nil"/>
                    <w:bottom w:val="single" w:sz="4" w:space="0" w:color="auto"/>
                    <w:right w:val="single" w:sz="4" w:space="0" w:color="auto"/>
                  </w:tcBorders>
                  <w:shd w:val="clear" w:color="auto" w:fill="auto"/>
                  <w:noWrap/>
                  <w:vAlign w:val="bottom"/>
                  <w:hideMark/>
                </w:tcPr>
                <w:p w14:paraId="4E6733CE" w14:textId="77777777" w:rsidR="00FC7D95" w:rsidRPr="00FC7D95" w:rsidRDefault="00FC7D95" w:rsidP="00FC7D95">
                  <w:pPr>
                    <w:spacing w:line="240" w:lineRule="auto"/>
                    <w:jc w:val="right"/>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7000</w:t>
                  </w:r>
                </w:p>
              </w:tc>
              <w:tc>
                <w:tcPr>
                  <w:tcW w:w="640" w:type="dxa"/>
                  <w:tcBorders>
                    <w:top w:val="nil"/>
                    <w:left w:val="nil"/>
                    <w:bottom w:val="single" w:sz="4" w:space="0" w:color="auto"/>
                    <w:right w:val="single" w:sz="4" w:space="0" w:color="auto"/>
                  </w:tcBorders>
                  <w:shd w:val="clear" w:color="auto" w:fill="auto"/>
                  <w:noWrap/>
                  <w:vAlign w:val="bottom"/>
                  <w:hideMark/>
                </w:tcPr>
                <w:p w14:paraId="683B5447" w14:textId="77777777" w:rsidR="00FC7D95" w:rsidRPr="00FC7D95" w:rsidRDefault="00FC7D95" w:rsidP="00FC7D95">
                  <w:pPr>
                    <w:spacing w:line="240" w:lineRule="auto"/>
                    <w:jc w:val="right"/>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7000</w:t>
                  </w:r>
                </w:p>
              </w:tc>
              <w:tc>
                <w:tcPr>
                  <w:tcW w:w="640" w:type="dxa"/>
                  <w:tcBorders>
                    <w:top w:val="nil"/>
                    <w:left w:val="nil"/>
                    <w:bottom w:val="single" w:sz="4" w:space="0" w:color="auto"/>
                    <w:right w:val="single" w:sz="4" w:space="0" w:color="auto"/>
                  </w:tcBorders>
                  <w:shd w:val="clear" w:color="auto" w:fill="auto"/>
                  <w:noWrap/>
                  <w:vAlign w:val="bottom"/>
                  <w:hideMark/>
                </w:tcPr>
                <w:p w14:paraId="471D1DF4" w14:textId="77777777" w:rsidR="00FC7D95" w:rsidRPr="00FC7D95" w:rsidRDefault="00FC7D95" w:rsidP="00FC7D95">
                  <w:pPr>
                    <w:spacing w:line="240" w:lineRule="auto"/>
                    <w:jc w:val="right"/>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7000</w:t>
                  </w:r>
                </w:p>
              </w:tc>
              <w:tc>
                <w:tcPr>
                  <w:tcW w:w="616" w:type="dxa"/>
                  <w:tcBorders>
                    <w:top w:val="nil"/>
                    <w:left w:val="nil"/>
                    <w:bottom w:val="single" w:sz="4" w:space="0" w:color="auto"/>
                    <w:right w:val="single" w:sz="4" w:space="0" w:color="auto"/>
                  </w:tcBorders>
                  <w:shd w:val="clear" w:color="auto" w:fill="auto"/>
                  <w:noWrap/>
                  <w:vAlign w:val="bottom"/>
                  <w:hideMark/>
                </w:tcPr>
                <w:p w14:paraId="431304A3" w14:textId="77777777" w:rsidR="00FC7D95" w:rsidRPr="00FC7D95" w:rsidRDefault="00FC7D95" w:rsidP="00FC7D95">
                  <w:pPr>
                    <w:spacing w:line="240" w:lineRule="auto"/>
                    <w:jc w:val="right"/>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7000</w:t>
                  </w:r>
                </w:p>
              </w:tc>
              <w:tc>
                <w:tcPr>
                  <w:tcW w:w="541" w:type="dxa"/>
                  <w:tcBorders>
                    <w:top w:val="nil"/>
                    <w:left w:val="nil"/>
                    <w:bottom w:val="single" w:sz="4" w:space="0" w:color="auto"/>
                    <w:right w:val="single" w:sz="4" w:space="0" w:color="auto"/>
                  </w:tcBorders>
                  <w:shd w:val="clear" w:color="auto" w:fill="auto"/>
                  <w:noWrap/>
                  <w:vAlign w:val="bottom"/>
                  <w:hideMark/>
                </w:tcPr>
                <w:p w14:paraId="4BA5C9BD" w14:textId="77777777" w:rsidR="00FC7D95" w:rsidRPr="00FC7D95" w:rsidRDefault="00FC7D95" w:rsidP="00FC7D95">
                  <w:pPr>
                    <w:spacing w:line="240" w:lineRule="auto"/>
                    <w:jc w:val="right"/>
                    <w:rPr>
                      <w:rFonts w:asciiTheme="minorHAnsi" w:eastAsia="Times New Roman" w:hAnsiTheme="minorHAnsi" w:cstheme="minorHAnsi"/>
                      <w:color w:val="000000"/>
                      <w:sz w:val="14"/>
                      <w:szCs w:val="14"/>
                      <w:lang w:eastAsia="pl-PL"/>
                    </w:rPr>
                  </w:pPr>
                  <w:r w:rsidRPr="00FC7D95">
                    <w:rPr>
                      <w:rFonts w:asciiTheme="minorHAnsi" w:eastAsia="Times New Roman" w:hAnsiTheme="minorHAnsi" w:cstheme="minorHAnsi"/>
                      <w:color w:val="000000"/>
                      <w:sz w:val="14"/>
                      <w:szCs w:val="14"/>
                      <w:lang w:eastAsia="pl-PL"/>
                    </w:rPr>
                    <w:t>7000</w:t>
                  </w:r>
                </w:p>
              </w:tc>
            </w:tr>
          </w:tbl>
          <w:p w14:paraId="1F4744C3" w14:textId="77777777" w:rsidR="00FC7D95" w:rsidRPr="00FC7D95" w:rsidRDefault="00FC7D95" w:rsidP="00FC7D95">
            <w:pPr>
              <w:spacing w:line="240" w:lineRule="auto"/>
              <w:jc w:val="both"/>
              <w:rPr>
                <w:rFonts w:asciiTheme="minorHAnsi" w:eastAsia="Times New Roman" w:hAnsiTheme="minorHAnsi" w:cstheme="minorHAnsi"/>
                <w:b/>
                <w:bCs/>
              </w:rPr>
            </w:pPr>
          </w:p>
          <w:p w14:paraId="53E9B9CC" w14:textId="64AF2998" w:rsidR="00FC7D95" w:rsidRPr="00FC7D95" w:rsidRDefault="00FC7D95" w:rsidP="00FC7D95">
            <w:pPr>
              <w:spacing w:line="240" w:lineRule="auto"/>
              <w:jc w:val="both"/>
              <w:rPr>
                <w:rFonts w:asciiTheme="minorHAnsi" w:eastAsia="Times New Roman" w:hAnsiTheme="minorHAnsi" w:cstheme="minorHAnsi"/>
              </w:rPr>
            </w:pPr>
            <w:r w:rsidRPr="00FC7D95">
              <w:rPr>
                <w:rFonts w:asciiTheme="minorHAnsi" w:eastAsia="Times New Roman" w:hAnsiTheme="minorHAnsi" w:cstheme="minorHAnsi"/>
              </w:rPr>
              <w:t xml:space="preserve">- Zakłada się, że instrument wsparcia wejdzie w życie w roku 2025 r. </w:t>
            </w:r>
          </w:p>
          <w:p w14:paraId="78237E6E" w14:textId="77777777" w:rsidR="00FC7D95" w:rsidRPr="00FC7D95" w:rsidRDefault="00FC7D95" w:rsidP="00FC7D95">
            <w:pPr>
              <w:spacing w:after="120" w:line="240" w:lineRule="auto"/>
              <w:jc w:val="both"/>
              <w:rPr>
                <w:rFonts w:asciiTheme="minorHAnsi" w:eastAsia="Times New Roman" w:hAnsiTheme="minorHAnsi" w:cstheme="minorHAnsi"/>
              </w:rPr>
            </w:pPr>
          </w:p>
          <w:p w14:paraId="5342205E" w14:textId="00BD4598" w:rsidR="00FC7D95" w:rsidRPr="00FC7D95" w:rsidRDefault="00FC7D95" w:rsidP="00FC7D95">
            <w:pPr>
              <w:spacing w:after="120" w:line="240" w:lineRule="auto"/>
              <w:ind w:hanging="2"/>
              <w:jc w:val="both"/>
              <w:rPr>
                <w:rFonts w:asciiTheme="minorHAnsi" w:eastAsia="Times New Roman" w:hAnsiTheme="minorHAnsi" w:cstheme="minorHAnsi"/>
              </w:rPr>
            </w:pPr>
            <w:r w:rsidRPr="00FC7D95">
              <w:rPr>
                <w:rFonts w:asciiTheme="minorHAnsi" w:eastAsia="Times New Roman" w:hAnsiTheme="minorHAnsi" w:cstheme="minorHAnsi"/>
              </w:rPr>
              <w:lastRenderedPageBreak/>
              <w:t>W przypadku kosztów wynagrodzeń asystentów prawnych do wyliczeń ich wynagrodzenia przyjęto założenia wskazane w projektowanym art. 60 ust. 4 tj. Wynagrodzenie asystenta prawnego w stosunku miesięcznym nie może być niższe niż 10% i nie może być wyższe niż 50% przeciętnego miesięcznego wynagrodzenia w sektorze przedsiębiorstw, bez wypłat nagród z zysku, ogłoszonego przez Prezesa Głównego Urzędu Statystycznego za okres poprzedzający dzień przyznania wynagrodzenia.</w:t>
            </w:r>
          </w:p>
          <w:p w14:paraId="01A63FF9" w14:textId="51F00A62" w:rsidR="00FC7D95" w:rsidRPr="00FC7D95" w:rsidRDefault="00FC7D95" w:rsidP="00FC7D95">
            <w:pPr>
              <w:spacing w:after="120" w:line="240" w:lineRule="auto"/>
              <w:ind w:hanging="2"/>
              <w:jc w:val="both"/>
              <w:rPr>
                <w:rFonts w:asciiTheme="minorHAnsi" w:eastAsia="Times New Roman" w:hAnsiTheme="minorHAnsi" w:cstheme="minorHAnsi"/>
              </w:rPr>
            </w:pPr>
            <w:r w:rsidRPr="00FC7D95">
              <w:rPr>
                <w:rFonts w:asciiTheme="minorHAnsi" w:eastAsia="Times New Roman" w:hAnsiTheme="minorHAnsi" w:cstheme="minorHAnsi"/>
              </w:rPr>
              <w:t>W przypadku kosztów wynagrodzeń pełnomocników wspierających do wyliczeń ich wynagrodzenia przyjęto założenia wskazane w zmienianym art. 53a ustawy z dnia 12 marca 2004 r. o pomocy społecznej tj. „Art.  53a. 1. Wynagrodzenie asystenta prawnego ustanowionego przez sąd i pełnomocnika wspierającego w stosunku miesięcznym nie może być niższe niż 10% i nie może być wyższe niż 50% przeciętnego miesięcznego wynagrodzenia w sektorze przedsiębiorstw, bez wypłat nagród z zysku, ogłoszonego przez Prezesa Głównego Urzędu Statystycznego za okres poprzedzający dzień przyznania wynagrodzenia”.</w:t>
            </w:r>
          </w:p>
          <w:p w14:paraId="633F02B9" w14:textId="77777777" w:rsidR="00FC7D95" w:rsidRPr="00FC7D95" w:rsidRDefault="00FC7D95" w:rsidP="00FC7D95">
            <w:pPr>
              <w:spacing w:after="120" w:line="240" w:lineRule="auto"/>
              <w:ind w:hanging="2"/>
              <w:jc w:val="both"/>
              <w:rPr>
                <w:rFonts w:asciiTheme="minorHAnsi" w:eastAsia="Times New Roman" w:hAnsiTheme="minorHAnsi" w:cstheme="minorHAnsi"/>
              </w:rPr>
            </w:pPr>
            <w:r w:rsidRPr="00FC7D95">
              <w:rPr>
                <w:rFonts w:asciiTheme="minorHAnsi" w:eastAsia="Times New Roman" w:hAnsiTheme="minorHAnsi" w:cstheme="minorHAnsi"/>
              </w:rPr>
              <w:t xml:space="preserve">Rokiem bazowym do wyliczeń wynagrodzeń asystentów prawnych / pełnomocników wspierających oraz prawników w CNŻ jest rok 2025. </w:t>
            </w:r>
          </w:p>
          <w:p w14:paraId="2AE093BC" w14:textId="63B38CCF" w:rsidR="00FC7D95" w:rsidRPr="00FC7D95" w:rsidRDefault="00FC7D95" w:rsidP="00FC7D95">
            <w:pPr>
              <w:spacing w:after="120" w:line="240" w:lineRule="auto"/>
              <w:ind w:hanging="2"/>
              <w:jc w:val="both"/>
              <w:rPr>
                <w:rFonts w:asciiTheme="minorHAnsi" w:eastAsia="Times New Roman" w:hAnsiTheme="minorHAnsi" w:cstheme="minorHAnsi"/>
              </w:rPr>
            </w:pPr>
            <w:r w:rsidRPr="00FC7D95">
              <w:rPr>
                <w:rFonts w:asciiTheme="minorHAnsi" w:eastAsia="Times New Roman" w:hAnsiTheme="minorHAnsi" w:cstheme="minorHAnsi"/>
              </w:rPr>
              <w:t xml:space="preserve">Zgodnie z wyżej przytoczonymi wytycznymi dot. wskaźników makroekonomicznych kwota przeciętnego wynagrodzenia brutto w gospodarce narodowej w roku 2025 wyniesie 8 031 zł brutto. </w:t>
            </w:r>
            <w:proofErr w:type="gramStart"/>
            <w:r w:rsidRPr="00FC7D95">
              <w:rPr>
                <w:rFonts w:asciiTheme="minorHAnsi" w:eastAsia="Times New Roman" w:hAnsiTheme="minorHAnsi" w:cstheme="minorHAnsi"/>
              </w:rPr>
              <w:t>Do  obliczeń</w:t>
            </w:r>
            <w:proofErr w:type="gramEnd"/>
            <w:r w:rsidRPr="00FC7D95">
              <w:rPr>
                <w:rFonts w:asciiTheme="minorHAnsi" w:eastAsia="Times New Roman" w:hAnsiTheme="minorHAnsi" w:cstheme="minorHAnsi"/>
              </w:rPr>
              <w:t xml:space="preserve"> wzięto kwotę wynagrodzeń wraz z pochodnymi pracodawcy dla.</w:t>
            </w:r>
          </w:p>
          <w:p w14:paraId="3E67FAD9" w14:textId="77777777" w:rsidR="00FC7D95" w:rsidRPr="00FC7D95" w:rsidRDefault="00FC7D95" w:rsidP="00FC7D95">
            <w:pPr>
              <w:pStyle w:val="Akapitzlist"/>
              <w:spacing w:line="240" w:lineRule="auto"/>
              <w:ind w:left="0"/>
              <w:jc w:val="both"/>
              <w:rPr>
                <w:rFonts w:asciiTheme="minorHAnsi" w:eastAsia="Times New Roman" w:hAnsiTheme="minorHAnsi" w:cstheme="minorHAnsi"/>
              </w:rPr>
            </w:pPr>
          </w:p>
          <w:p w14:paraId="5FFDDA05" w14:textId="3275FC08" w:rsidR="00FC7D95" w:rsidRPr="00FC7D95" w:rsidRDefault="00FC7D95" w:rsidP="00FC7D95">
            <w:pPr>
              <w:spacing w:after="120" w:line="240" w:lineRule="auto"/>
              <w:ind w:hanging="2"/>
              <w:jc w:val="both"/>
              <w:rPr>
                <w:rFonts w:asciiTheme="minorHAnsi" w:eastAsia="Times New Roman" w:hAnsiTheme="minorHAnsi" w:cstheme="minorHAnsi"/>
                <w:b/>
              </w:rPr>
            </w:pPr>
            <w:r w:rsidRPr="00FC7D95">
              <w:rPr>
                <w:rFonts w:asciiTheme="minorHAnsi" w:eastAsia="Times New Roman" w:hAnsiTheme="minorHAnsi" w:cstheme="minorHAnsi"/>
                <w:b/>
              </w:rPr>
              <w:t>b) Koszty związane z obsługą systemu - koszty administracyjne.</w:t>
            </w:r>
          </w:p>
          <w:p w14:paraId="3075328F" w14:textId="795169BA" w:rsidR="00FC7D95" w:rsidRPr="00FC7D95" w:rsidRDefault="00FC7D95" w:rsidP="00FC7D95">
            <w:pPr>
              <w:spacing w:after="120" w:line="240" w:lineRule="auto"/>
              <w:ind w:hanging="2"/>
              <w:jc w:val="both"/>
              <w:rPr>
                <w:rFonts w:asciiTheme="minorHAnsi" w:eastAsia="Times New Roman" w:hAnsiTheme="minorHAnsi" w:cstheme="minorHAnsi"/>
              </w:rPr>
            </w:pPr>
            <w:r w:rsidRPr="00FC7D95">
              <w:rPr>
                <w:rFonts w:asciiTheme="minorHAnsi" w:eastAsia="Times New Roman" w:hAnsiTheme="minorHAnsi" w:cstheme="minorHAnsi"/>
              </w:rPr>
              <w:t>Centra Niezależnego Życia to ośrodki koordynujące wsparcie osób z niepełnosprawnościami planowane do powołania w projekcie ustawy o wyrównywaniu szans osób z niepełnosprawnościami. Koszty ich funkcjonowania zostaną oszacowane w odrębnych OSR.</w:t>
            </w:r>
          </w:p>
          <w:p w14:paraId="6C005099" w14:textId="26908F7C" w:rsidR="00FC7D95" w:rsidRPr="00FC7D95" w:rsidRDefault="00FC7D95" w:rsidP="00FC7D95">
            <w:pPr>
              <w:spacing w:after="120" w:line="240" w:lineRule="auto"/>
              <w:ind w:hanging="2"/>
              <w:jc w:val="both"/>
              <w:rPr>
                <w:rFonts w:asciiTheme="minorHAnsi" w:eastAsia="Times New Roman" w:hAnsiTheme="minorHAnsi" w:cstheme="minorHAnsi"/>
              </w:rPr>
            </w:pPr>
            <w:r w:rsidRPr="00FC7D95">
              <w:rPr>
                <w:rFonts w:asciiTheme="minorHAnsi" w:eastAsia="Times New Roman" w:hAnsiTheme="minorHAnsi" w:cstheme="minorHAnsi"/>
              </w:rPr>
              <w:t>Jednym z zadań Centrum Niezależnego Życia jest m.in.: prowadzenie rejestru oraz wsparcie w zakresie sporządzania planów reprezentacji</w:t>
            </w:r>
          </w:p>
          <w:p w14:paraId="50DBE054" w14:textId="77777777" w:rsidR="00FC7D95" w:rsidRPr="00FC7D95" w:rsidRDefault="00FC7D95" w:rsidP="00FC7D95">
            <w:pPr>
              <w:spacing w:line="240" w:lineRule="auto"/>
              <w:ind w:left="-2"/>
              <w:jc w:val="both"/>
              <w:rPr>
                <w:rFonts w:asciiTheme="minorHAnsi" w:eastAsia="Times New Roman" w:hAnsiTheme="minorHAnsi" w:cstheme="minorHAnsi"/>
              </w:rPr>
            </w:pPr>
            <w:r w:rsidRPr="00FC7D95">
              <w:rPr>
                <w:rFonts w:asciiTheme="minorHAnsi" w:eastAsia="Times New Roman" w:hAnsiTheme="minorHAnsi" w:cstheme="minorHAnsi"/>
              </w:rPr>
              <w:t xml:space="preserve">W projekcie dokonano podziału Centrów Niezależnego Życia na Kompleksowe i Wyspecjalizowane. </w:t>
            </w:r>
          </w:p>
          <w:p w14:paraId="4211B011" w14:textId="12DD5A3F" w:rsidR="00FC7D95" w:rsidRPr="00FC7D95" w:rsidRDefault="00FC7D95" w:rsidP="00FC7D95">
            <w:pPr>
              <w:spacing w:line="240" w:lineRule="auto"/>
              <w:ind w:left="-2"/>
              <w:jc w:val="both"/>
              <w:rPr>
                <w:rFonts w:asciiTheme="minorHAnsi" w:eastAsia="Times New Roman" w:hAnsiTheme="minorHAnsi" w:cstheme="minorHAnsi"/>
              </w:rPr>
            </w:pPr>
            <w:r w:rsidRPr="00FC7D95">
              <w:rPr>
                <w:rFonts w:asciiTheme="minorHAnsi" w:eastAsia="Times New Roman" w:hAnsiTheme="minorHAnsi" w:cstheme="minorHAnsi"/>
              </w:rPr>
              <w:t>Prowadzenie rejestru oraz wsparcie w zakresie sporządzania planów reprezentacji będą zadaniem Kompleksowych Centrów Niezależnego Życia - ich wprowadzenie jest obowiązkiem powiatu. Zatem będzie działać 380 CNŻ.</w:t>
            </w:r>
          </w:p>
          <w:p w14:paraId="6CB60C1B" w14:textId="63241417" w:rsidR="00FC7D95" w:rsidRPr="00FC7D95" w:rsidRDefault="00FC7D95" w:rsidP="00FC7D95">
            <w:pPr>
              <w:spacing w:line="240" w:lineRule="auto"/>
              <w:ind w:left="-2"/>
              <w:jc w:val="both"/>
              <w:rPr>
                <w:rFonts w:asciiTheme="minorHAnsi" w:eastAsia="Times New Roman" w:hAnsiTheme="minorHAnsi" w:cstheme="minorHAnsi"/>
              </w:rPr>
            </w:pPr>
            <w:r w:rsidRPr="00FC7D95">
              <w:rPr>
                <w:rFonts w:asciiTheme="minorHAnsi" w:eastAsia="Times New Roman" w:hAnsiTheme="minorHAnsi" w:cstheme="minorHAnsi"/>
              </w:rPr>
              <w:t>Art. 139a. ust.1, że projektowanej ustawy stanowi, że Centrum Niezależnego Życia świadczy usługę przygotowania i sporządzenia planu reprezentacji w zakresie realizacji zdolności do czynności prawnych.</w:t>
            </w:r>
          </w:p>
          <w:p w14:paraId="0C400858" w14:textId="647DABFF" w:rsidR="00FC7D95" w:rsidRPr="00FC7D95" w:rsidRDefault="00FC7D95" w:rsidP="00FC7D95">
            <w:pPr>
              <w:spacing w:line="240" w:lineRule="auto"/>
              <w:ind w:left="-2"/>
              <w:jc w:val="both"/>
              <w:rPr>
                <w:rFonts w:asciiTheme="minorHAnsi" w:eastAsia="Times New Roman" w:hAnsiTheme="minorHAnsi" w:cstheme="minorHAnsi"/>
              </w:rPr>
            </w:pPr>
            <w:r w:rsidRPr="00FC7D95">
              <w:rPr>
                <w:rFonts w:asciiTheme="minorHAnsi" w:eastAsia="Times New Roman" w:hAnsiTheme="minorHAnsi" w:cstheme="minorHAnsi"/>
              </w:rPr>
              <w:t>Do wyliczeń przyjęto, że co roku w każdym powiecie / CNŻ średnio zostanie sporządzonych 100 planów reprezentacji.</w:t>
            </w:r>
          </w:p>
          <w:p w14:paraId="0F8CD4E4" w14:textId="77777777" w:rsidR="00FC7D95" w:rsidRPr="00FC7D95" w:rsidRDefault="00FC7D95" w:rsidP="00FC7D95">
            <w:pPr>
              <w:spacing w:line="240" w:lineRule="auto"/>
              <w:jc w:val="both"/>
              <w:rPr>
                <w:rFonts w:asciiTheme="minorHAnsi" w:eastAsia="Times New Roman" w:hAnsiTheme="minorHAnsi" w:cstheme="minorHAnsi"/>
              </w:rPr>
            </w:pPr>
          </w:p>
          <w:p w14:paraId="02AD7352" w14:textId="30550EDA" w:rsidR="00FC7D95" w:rsidRPr="00FC7D95" w:rsidRDefault="00FC7D95" w:rsidP="00FC7D95">
            <w:pPr>
              <w:spacing w:line="240" w:lineRule="auto"/>
              <w:ind w:left="-2"/>
              <w:jc w:val="both"/>
              <w:rPr>
                <w:rFonts w:asciiTheme="minorHAnsi" w:eastAsia="Times New Roman" w:hAnsiTheme="minorHAnsi" w:cstheme="minorHAnsi"/>
              </w:rPr>
            </w:pPr>
            <w:r w:rsidRPr="00FC7D95">
              <w:rPr>
                <w:rFonts w:asciiTheme="minorHAnsi" w:eastAsia="Times New Roman" w:hAnsiTheme="minorHAnsi" w:cstheme="minorHAnsi"/>
              </w:rPr>
              <w:t>W art. 139a ust. 5. Wskazano, że u celu realizacji usługi, o której mowa w ust. 1, Centrum Niezależnego Życia zatrudnia osobę co najmniej z wykształceniem prawniczym. Przyjęto do wyliczeń założenie, że sporządzenie jednego planu to średnio 10 godzin pracy.</w:t>
            </w:r>
          </w:p>
          <w:p w14:paraId="0E84566A" w14:textId="68FCEF8B" w:rsidR="00FC7D95" w:rsidRPr="00FC7D95" w:rsidRDefault="00FC7D95" w:rsidP="00FC7D95">
            <w:pPr>
              <w:spacing w:line="240" w:lineRule="auto"/>
              <w:ind w:hanging="2"/>
              <w:jc w:val="both"/>
              <w:rPr>
                <w:rFonts w:asciiTheme="minorHAnsi" w:eastAsia="Times New Roman" w:hAnsiTheme="minorHAnsi" w:cstheme="minorHAnsi"/>
              </w:rPr>
            </w:pPr>
            <w:r w:rsidRPr="00FC7D95">
              <w:rPr>
                <w:rFonts w:asciiTheme="minorHAnsi" w:eastAsia="Times New Roman" w:hAnsiTheme="minorHAnsi" w:cstheme="minorHAnsi"/>
              </w:rPr>
              <w:t xml:space="preserve">Koszty zatrudnienia prawnika na 1 etat wraz z pochodnymi pracodawcy wynosi 8200 zł. Źródło </w:t>
            </w:r>
            <w:hyperlink r:id="rId10" w:history="1">
              <w:r w:rsidRPr="00FC7D95">
                <w:rPr>
                  <w:rStyle w:val="Hipercze"/>
                  <w:rFonts w:asciiTheme="minorHAnsi" w:eastAsia="Times New Roman" w:hAnsiTheme="minorHAnsi" w:cstheme="minorHAnsi"/>
                </w:rPr>
                <w:t>https://wynagrodzenia.pl/moja-placa/ile-zarabia-prawnik</w:t>
              </w:r>
            </w:hyperlink>
          </w:p>
          <w:p w14:paraId="0D9D3EBF" w14:textId="77777777" w:rsidR="00FC7D95" w:rsidRPr="00FC7D95" w:rsidRDefault="00FC7D95" w:rsidP="00FC7D95">
            <w:pPr>
              <w:spacing w:line="240" w:lineRule="auto"/>
              <w:ind w:hanging="2"/>
              <w:jc w:val="both"/>
              <w:rPr>
                <w:rFonts w:asciiTheme="minorHAnsi" w:eastAsia="Times New Roman" w:hAnsiTheme="minorHAnsi" w:cstheme="minorHAnsi"/>
              </w:rPr>
            </w:pPr>
            <w:r w:rsidRPr="00FC7D95">
              <w:rPr>
                <w:rFonts w:asciiTheme="minorHAnsi" w:eastAsia="Times New Roman" w:hAnsiTheme="minorHAnsi" w:cstheme="minorHAnsi"/>
              </w:rPr>
              <w:t>Wobec powyższego do kalkulacji przyjęto 0,5 etatu na 1 CNŻ.</w:t>
            </w:r>
          </w:p>
          <w:p w14:paraId="7E9BF2F2" w14:textId="10DFC473" w:rsidR="00FC7D95" w:rsidRPr="00FC7D95" w:rsidRDefault="00FC7D95" w:rsidP="00FC7D95">
            <w:pPr>
              <w:spacing w:line="240" w:lineRule="auto"/>
              <w:ind w:hanging="2"/>
              <w:jc w:val="both"/>
              <w:rPr>
                <w:rFonts w:asciiTheme="minorHAnsi" w:eastAsia="Times New Roman" w:hAnsiTheme="minorHAnsi" w:cstheme="minorHAnsi"/>
              </w:rPr>
            </w:pPr>
            <w:r w:rsidRPr="00FC7D95">
              <w:rPr>
                <w:rFonts w:asciiTheme="minorHAnsi" w:eastAsia="Times New Roman" w:hAnsiTheme="minorHAnsi" w:cstheme="minorHAnsi"/>
              </w:rPr>
              <w:t xml:space="preserve">Roczne koszty zatrudnienia prawnika = 4100 zł * 12 mies. * 380 CNŻ = </w:t>
            </w:r>
            <w:r w:rsidRPr="00FC7D95">
              <w:rPr>
                <w:rFonts w:asciiTheme="minorHAnsi" w:eastAsia="Times New Roman" w:hAnsiTheme="minorHAnsi" w:cstheme="minorHAnsi"/>
                <w:b/>
                <w:bCs/>
              </w:rPr>
              <w:t>18 696 000 zł.</w:t>
            </w:r>
          </w:p>
          <w:p w14:paraId="16598057" w14:textId="77777777" w:rsidR="00FC7D95" w:rsidRPr="00FC7D95" w:rsidRDefault="00FC7D95" w:rsidP="00FC7D95">
            <w:pPr>
              <w:spacing w:line="240" w:lineRule="auto"/>
              <w:ind w:hanging="2"/>
              <w:jc w:val="both"/>
              <w:rPr>
                <w:rFonts w:asciiTheme="minorHAnsi" w:eastAsia="Times New Roman" w:hAnsiTheme="minorHAnsi" w:cstheme="minorHAnsi"/>
              </w:rPr>
            </w:pPr>
          </w:p>
          <w:p w14:paraId="21DA3129" w14:textId="76550301" w:rsidR="00FC7D95" w:rsidRPr="00FC7D95" w:rsidRDefault="00FC7D95" w:rsidP="00FC7D95">
            <w:pPr>
              <w:spacing w:line="240" w:lineRule="auto"/>
              <w:ind w:hanging="2"/>
              <w:jc w:val="both"/>
              <w:rPr>
                <w:rFonts w:asciiTheme="minorHAnsi" w:eastAsia="Times New Roman" w:hAnsiTheme="minorHAnsi" w:cstheme="minorHAnsi"/>
                <w:sz w:val="21"/>
                <w:szCs w:val="21"/>
              </w:rPr>
            </w:pPr>
            <w:r w:rsidRPr="00FC7D95">
              <w:rPr>
                <w:rFonts w:asciiTheme="minorHAnsi" w:eastAsia="Times New Roman" w:hAnsiTheme="minorHAnsi" w:cstheme="minorHAnsi"/>
                <w:sz w:val="21"/>
                <w:szCs w:val="21"/>
              </w:rPr>
              <w:lastRenderedPageBreak/>
              <w:t xml:space="preserve">Mając powyższe założenia na uwadze koszty zatrudnienia prawnika (0,5 etatu) w powiecie (CNŻ) w 2025 r. wyniosą 18 696 000 zł. W ciągu 10 lat łącznie </w:t>
            </w:r>
            <w:r w:rsidRPr="00FC7D95">
              <w:rPr>
                <w:rFonts w:asciiTheme="minorHAnsi" w:eastAsia="Times New Roman" w:hAnsiTheme="minorHAnsi" w:cstheme="minorHAnsi"/>
                <w:b/>
                <w:bCs/>
                <w:sz w:val="21"/>
                <w:szCs w:val="21"/>
              </w:rPr>
              <w:t xml:space="preserve">214,58 mln zł </w:t>
            </w:r>
            <w:r w:rsidRPr="00FC7D95">
              <w:rPr>
                <w:rFonts w:asciiTheme="minorHAnsi" w:eastAsia="Times New Roman" w:hAnsiTheme="minorHAnsi" w:cstheme="minorHAnsi"/>
                <w:sz w:val="21"/>
                <w:szCs w:val="21"/>
              </w:rPr>
              <w:t>z uwzględnieniem inflacji.</w:t>
            </w:r>
          </w:p>
          <w:p w14:paraId="4889F7C5" w14:textId="77777777" w:rsidR="00FC7D95" w:rsidRPr="00FC7D95" w:rsidRDefault="00FC7D95" w:rsidP="00FC7D95">
            <w:pPr>
              <w:spacing w:line="240" w:lineRule="auto"/>
              <w:ind w:hanging="2"/>
              <w:jc w:val="both"/>
              <w:rPr>
                <w:rFonts w:asciiTheme="minorHAnsi" w:eastAsia="Times New Roman" w:hAnsiTheme="minorHAnsi" w:cstheme="minorHAnsi"/>
                <w:sz w:val="21"/>
                <w:szCs w:val="21"/>
              </w:rPr>
            </w:pPr>
          </w:p>
          <w:p w14:paraId="1C4BA7D2" w14:textId="0DFBD6E8" w:rsidR="00FC7D95" w:rsidRPr="00FC7D95" w:rsidRDefault="00FC7D95" w:rsidP="00FC7D95">
            <w:pPr>
              <w:pStyle w:val="Akapitzlist"/>
              <w:numPr>
                <w:ilvl w:val="0"/>
                <w:numId w:val="26"/>
              </w:numPr>
              <w:spacing w:line="240" w:lineRule="auto"/>
              <w:jc w:val="both"/>
              <w:rPr>
                <w:rFonts w:asciiTheme="minorHAnsi" w:eastAsia="Times New Roman" w:hAnsiTheme="minorHAnsi" w:cstheme="minorHAnsi"/>
                <w:sz w:val="21"/>
                <w:szCs w:val="21"/>
              </w:rPr>
            </w:pPr>
            <w:r w:rsidRPr="00FC7D95">
              <w:rPr>
                <w:rFonts w:asciiTheme="minorHAnsi" w:eastAsia="Times New Roman" w:hAnsiTheme="minorHAnsi" w:cstheme="minorHAnsi"/>
                <w:sz w:val="21"/>
                <w:szCs w:val="21"/>
              </w:rPr>
              <w:t>Koszty utworzenia listy kandydatów na asystentów prawnych i pełnomocników wspierających prowadzone przez CNŻ znajdują się w OSR do rozporządzenia w sprawie listy kandydatów na asystentów prawnych oraz pełnomocników wspierających.</w:t>
            </w:r>
          </w:p>
          <w:p w14:paraId="6374BD45" w14:textId="77777777" w:rsidR="00FC7D95" w:rsidRPr="00FC7D95" w:rsidRDefault="00FC7D95" w:rsidP="00FC7D95">
            <w:pPr>
              <w:spacing w:line="240" w:lineRule="auto"/>
              <w:jc w:val="both"/>
              <w:rPr>
                <w:rFonts w:asciiTheme="minorHAnsi" w:eastAsia="Times New Roman" w:hAnsiTheme="minorHAnsi" w:cstheme="minorHAnsi"/>
                <w:sz w:val="21"/>
                <w:szCs w:val="21"/>
              </w:rPr>
            </w:pPr>
          </w:p>
          <w:p w14:paraId="2503B197" w14:textId="15D16D53" w:rsidR="00FC7D95" w:rsidRPr="00FC7D95" w:rsidRDefault="00FC7D95" w:rsidP="00FC7D95">
            <w:pPr>
              <w:pStyle w:val="Akapitzlist"/>
              <w:numPr>
                <w:ilvl w:val="0"/>
                <w:numId w:val="26"/>
              </w:numPr>
              <w:spacing w:line="240" w:lineRule="auto"/>
              <w:jc w:val="both"/>
              <w:rPr>
                <w:rFonts w:asciiTheme="minorHAnsi" w:hAnsiTheme="minorHAnsi" w:cstheme="minorHAnsi"/>
                <w:color w:val="000000"/>
                <w:sz w:val="21"/>
                <w:szCs w:val="21"/>
              </w:rPr>
            </w:pPr>
            <w:r w:rsidRPr="00FC7D95">
              <w:rPr>
                <w:rFonts w:asciiTheme="minorHAnsi" w:eastAsia="Times New Roman" w:hAnsiTheme="minorHAnsi" w:cstheme="minorHAnsi"/>
                <w:sz w:val="21"/>
                <w:szCs w:val="21"/>
              </w:rPr>
              <w:t>Koszty utworzenia Rejestru Pełnomocnictw na Przyszłość znajdują się w OSR do rozporządzenia w sprawie sposobu uiszczania i wysokości opłat za wpisy dokonywane w Rejestrze Pełnomocnictw na Przyszłość.</w:t>
            </w:r>
          </w:p>
        </w:tc>
      </w:tr>
      <w:tr w:rsidR="00FC7D95" w:rsidRPr="008B4FE6" w14:paraId="1B5A5B08" w14:textId="77777777" w:rsidTr="003A573A">
        <w:trPr>
          <w:trHeight w:val="345"/>
        </w:trPr>
        <w:tc>
          <w:tcPr>
            <w:tcW w:w="5000" w:type="pct"/>
            <w:gridSpan w:val="20"/>
            <w:shd w:val="clear" w:color="auto" w:fill="99CCFF"/>
          </w:tcPr>
          <w:p w14:paraId="1CF15A58" w14:textId="77777777" w:rsidR="00FC7D95" w:rsidRPr="008B4FE6" w:rsidRDefault="00FC7D95" w:rsidP="00FC7D95">
            <w:pPr>
              <w:numPr>
                <w:ilvl w:val="0"/>
                <w:numId w:val="4"/>
              </w:numPr>
              <w:spacing w:before="120" w:after="120" w:line="240" w:lineRule="auto"/>
              <w:jc w:val="both"/>
              <w:rPr>
                <w:rFonts w:ascii="Times New Roman" w:hAnsi="Times New Roman"/>
                <w:b/>
                <w:color w:val="000000"/>
                <w:spacing w:val="-2"/>
              </w:rPr>
            </w:pPr>
            <w:r w:rsidRPr="008B4FE6">
              <w:rPr>
                <w:rFonts w:ascii="Times New Roman" w:hAnsi="Times New Roman"/>
                <w:b/>
                <w:color w:val="000000"/>
                <w:spacing w:val="-2"/>
              </w:rPr>
              <w:lastRenderedPageBreak/>
              <w:t xml:space="preserve">Wpływ na </w:t>
            </w:r>
            <w:r w:rsidRPr="008B4FE6">
              <w:rPr>
                <w:rFonts w:ascii="Times New Roman" w:hAnsi="Times New Roman"/>
                <w:b/>
                <w:color w:val="000000"/>
              </w:rPr>
              <w:t>konkurencyjność gospodark</w:t>
            </w:r>
            <w:r>
              <w:rPr>
                <w:rFonts w:ascii="Times New Roman" w:hAnsi="Times New Roman"/>
                <w:b/>
                <w:color w:val="000000"/>
              </w:rPr>
              <w:t>i</w:t>
            </w:r>
            <w:r w:rsidRPr="008B4FE6">
              <w:rPr>
                <w:rFonts w:ascii="Times New Roman" w:hAnsi="Times New Roman"/>
                <w:b/>
                <w:color w:val="000000"/>
              </w:rPr>
              <w:t xml:space="preserve"> </w:t>
            </w:r>
            <w:r>
              <w:rPr>
                <w:rFonts w:ascii="Times New Roman" w:hAnsi="Times New Roman"/>
                <w:b/>
                <w:color w:val="000000"/>
              </w:rPr>
              <w:t>i przedsiębiorczość,</w:t>
            </w:r>
            <w:r w:rsidRPr="008B4FE6">
              <w:rPr>
                <w:rFonts w:ascii="Times New Roman" w:hAnsi="Times New Roman"/>
                <w:b/>
                <w:color w:val="000000"/>
              </w:rPr>
              <w:t xml:space="preserve"> </w:t>
            </w:r>
            <w:r>
              <w:rPr>
                <w:rFonts w:ascii="Times New Roman" w:hAnsi="Times New Roman"/>
                <w:b/>
                <w:color w:val="000000"/>
              </w:rPr>
              <w:t xml:space="preserve">w tym </w:t>
            </w:r>
            <w:r w:rsidRPr="008B4FE6">
              <w:rPr>
                <w:rFonts w:ascii="Times New Roman" w:hAnsi="Times New Roman"/>
                <w:b/>
                <w:color w:val="000000"/>
              </w:rPr>
              <w:t>funkcjonowanie przedsiębi</w:t>
            </w:r>
            <w:r>
              <w:rPr>
                <w:rFonts w:ascii="Times New Roman" w:hAnsi="Times New Roman"/>
                <w:b/>
                <w:color w:val="000000"/>
              </w:rPr>
              <w:t xml:space="preserve">orców oraz na rodzinę, obywateli i gospodarstwa domowe </w:t>
            </w:r>
          </w:p>
        </w:tc>
      </w:tr>
      <w:tr w:rsidR="00FC7D95" w:rsidRPr="008B4FE6" w14:paraId="033EFA64" w14:textId="77777777" w:rsidTr="003A573A">
        <w:trPr>
          <w:trHeight w:val="142"/>
        </w:trPr>
        <w:tc>
          <w:tcPr>
            <w:tcW w:w="5000" w:type="pct"/>
            <w:gridSpan w:val="20"/>
            <w:shd w:val="clear" w:color="auto" w:fill="FFFFFF" w:themeFill="background1"/>
          </w:tcPr>
          <w:p w14:paraId="3B5AE819" w14:textId="77777777" w:rsidR="00FC7D95" w:rsidRPr="00301959" w:rsidRDefault="00FC7D95" w:rsidP="00FC7D95">
            <w:pPr>
              <w:spacing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rPr>
              <w:t>Skutki</w:t>
            </w:r>
          </w:p>
        </w:tc>
      </w:tr>
      <w:tr w:rsidR="00FC7D95" w:rsidRPr="008B4FE6" w14:paraId="175CDB1B" w14:textId="77777777" w:rsidTr="00FC7D95">
        <w:trPr>
          <w:trHeight w:val="142"/>
        </w:trPr>
        <w:tc>
          <w:tcPr>
            <w:tcW w:w="1411" w:type="pct"/>
            <w:gridSpan w:val="4"/>
            <w:shd w:val="clear" w:color="auto" w:fill="FFFFFF" w:themeFill="background1"/>
          </w:tcPr>
          <w:p w14:paraId="371E4673" w14:textId="77777777" w:rsidR="00FC7D95" w:rsidRPr="00986144" w:rsidRDefault="00FC7D95" w:rsidP="00FC7D95">
            <w:pPr>
              <w:spacing w:line="240" w:lineRule="auto"/>
              <w:rPr>
                <w:rFonts w:ascii="Times New Roman" w:hAnsi="Times New Roman"/>
                <w:color w:val="000000"/>
                <w:sz w:val="18"/>
                <w:szCs w:val="18"/>
              </w:rPr>
            </w:pPr>
            <w:r w:rsidRPr="00986144">
              <w:rPr>
                <w:rFonts w:ascii="Times New Roman" w:hAnsi="Times New Roman"/>
                <w:color w:val="000000"/>
                <w:sz w:val="18"/>
                <w:szCs w:val="18"/>
              </w:rPr>
              <w:t>Czas w latach od wejścia w życie zmian</w:t>
            </w:r>
          </w:p>
        </w:tc>
        <w:tc>
          <w:tcPr>
            <w:tcW w:w="597" w:type="pct"/>
            <w:gridSpan w:val="2"/>
            <w:shd w:val="clear" w:color="auto" w:fill="FFFFFF" w:themeFill="background1"/>
          </w:tcPr>
          <w:p w14:paraId="2322F001" w14:textId="77777777" w:rsidR="00FC7D95" w:rsidRPr="00986144" w:rsidRDefault="00FC7D95" w:rsidP="00FC7D95">
            <w:pPr>
              <w:spacing w:line="240" w:lineRule="auto"/>
              <w:jc w:val="center"/>
              <w:rPr>
                <w:rFonts w:ascii="Times New Roman" w:hAnsi="Times New Roman"/>
                <w:color w:val="000000"/>
                <w:sz w:val="18"/>
                <w:szCs w:val="18"/>
              </w:rPr>
            </w:pPr>
            <w:r w:rsidRPr="00986144">
              <w:rPr>
                <w:rFonts w:ascii="Times New Roman" w:hAnsi="Times New Roman"/>
                <w:color w:val="000000"/>
                <w:sz w:val="18"/>
                <w:szCs w:val="18"/>
              </w:rPr>
              <w:t>0</w:t>
            </w:r>
          </w:p>
        </w:tc>
        <w:tc>
          <w:tcPr>
            <w:tcW w:w="706" w:type="pct"/>
            <w:gridSpan w:val="4"/>
            <w:shd w:val="clear" w:color="auto" w:fill="FFFFFF" w:themeFill="background1"/>
          </w:tcPr>
          <w:p w14:paraId="56B20A0C" w14:textId="77777777" w:rsidR="00FC7D95" w:rsidRPr="00986144" w:rsidRDefault="00FC7D95" w:rsidP="00FC7D95">
            <w:pPr>
              <w:spacing w:line="240" w:lineRule="auto"/>
              <w:jc w:val="center"/>
              <w:rPr>
                <w:rFonts w:ascii="Times New Roman" w:hAnsi="Times New Roman"/>
                <w:color w:val="000000"/>
                <w:sz w:val="18"/>
                <w:szCs w:val="18"/>
              </w:rPr>
            </w:pPr>
            <w:r w:rsidRPr="00986144">
              <w:rPr>
                <w:rFonts w:ascii="Times New Roman" w:hAnsi="Times New Roman"/>
                <w:color w:val="000000"/>
                <w:sz w:val="18"/>
                <w:szCs w:val="18"/>
              </w:rPr>
              <w:t>1</w:t>
            </w:r>
          </w:p>
        </w:tc>
        <w:tc>
          <w:tcPr>
            <w:tcW w:w="627" w:type="pct"/>
            <w:gridSpan w:val="3"/>
            <w:shd w:val="clear" w:color="auto" w:fill="FFFFFF" w:themeFill="background1"/>
          </w:tcPr>
          <w:p w14:paraId="7144751B" w14:textId="77777777" w:rsidR="00FC7D95" w:rsidRPr="00986144" w:rsidRDefault="00FC7D95" w:rsidP="00FC7D95">
            <w:pPr>
              <w:spacing w:line="240" w:lineRule="auto"/>
              <w:jc w:val="center"/>
              <w:rPr>
                <w:rFonts w:ascii="Times New Roman" w:hAnsi="Times New Roman"/>
                <w:color w:val="000000"/>
                <w:sz w:val="18"/>
                <w:szCs w:val="18"/>
              </w:rPr>
            </w:pPr>
            <w:r w:rsidRPr="00986144">
              <w:rPr>
                <w:rFonts w:ascii="Times New Roman" w:hAnsi="Times New Roman"/>
                <w:color w:val="000000"/>
                <w:sz w:val="18"/>
                <w:szCs w:val="18"/>
              </w:rPr>
              <w:t>2</w:t>
            </w:r>
          </w:p>
        </w:tc>
        <w:tc>
          <w:tcPr>
            <w:tcW w:w="362" w:type="pct"/>
            <w:gridSpan w:val="2"/>
            <w:shd w:val="clear" w:color="auto" w:fill="FFFFFF" w:themeFill="background1"/>
          </w:tcPr>
          <w:p w14:paraId="0B778152" w14:textId="77777777" w:rsidR="00FC7D95" w:rsidRPr="00986144" w:rsidRDefault="00FC7D95" w:rsidP="00FC7D95">
            <w:pPr>
              <w:spacing w:line="240" w:lineRule="auto"/>
              <w:jc w:val="center"/>
              <w:rPr>
                <w:rFonts w:ascii="Times New Roman" w:hAnsi="Times New Roman"/>
                <w:color w:val="000000"/>
                <w:sz w:val="18"/>
                <w:szCs w:val="18"/>
              </w:rPr>
            </w:pPr>
            <w:r w:rsidRPr="00986144">
              <w:rPr>
                <w:rFonts w:ascii="Times New Roman" w:hAnsi="Times New Roman"/>
                <w:color w:val="000000"/>
                <w:sz w:val="18"/>
                <w:szCs w:val="18"/>
              </w:rPr>
              <w:t>3</w:t>
            </w:r>
          </w:p>
        </w:tc>
        <w:tc>
          <w:tcPr>
            <w:tcW w:w="301" w:type="pct"/>
            <w:gridSpan w:val="2"/>
            <w:shd w:val="clear" w:color="auto" w:fill="FFFFFF" w:themeFill="background1"/>
          </w:tcPr>
          <w:p w14:paraId="44240AAE" w14:textId="77777777" w:rsidR="00FC7D95" w:rsidRPr="00986144" w:rsidRDefault="00FC7D95" w:rsidP="00FC7D95">
            <w:pPr>
              <w:spacing w:line="240" w:lineRule="auto"/>
              <w:jc w:val="center"/>
              <w:rPr>
                <w:rFonts w:ascii="Times New Roman" w:hAnsi="Times New Roman"/>
                <w:color w:val="000000"/>
                <w:sz w:val="18"/>
                <w:szCs w:val="18"/>
              </w:rPr>
            </w:pPr>
            <w:r w:rsidRPr="00986144">
              <w:rPr>
                <w:rFonts w:ascii="Times New Roman" w:hAnsi="Times New Roman"/>
                <w:color w:val="000000"/>
                <w:sz w:val="18"/>
                <w:szCs w:val="18"/>
              </w:rPr>
              <w:t>5</w:t>
            </w:r>
          </w:p>
        </w:tc>
        <w:tc>
          <w:tcPr>
            <w:tcW w:w="625" w:type="pct"/>
            <w:gridSpan w:val="2"/>
            <w:shd w:val="clear" w:color="auto" w:fill="FFFFFF" w:themeFill="background1"/>
          </w:tcPr>
          <w:p w14:paraId="446DE71A" w14:textId="77777777" w:rsidR="00FC7D95" w:rsidRPr="00986144" w:rsidRDefault="00FC7D95" w:rsidP="00FC7D95">
            <w:pPr>
              <w:spacing w:line="240" w:lineRule="auto"/>
              <w:jc w:val="center"/>
              <w:rPr>
                <w:rFonts w:ascii="Times New Roman" w:hAnsi="Times New Roman"/>
                <w:color w:val="000000"/>
                <w:sz w:val="18"/>
                <w:szCs w:val="18"/>
              </w:rPr>
            </w:pPr>
            <w:r w:rsidRPr="00986144">
              <w:rPr>
                <w:rFonts w:ascii="Times New Roman" w:hAnsi="Times New Roman"/>
                <w:color w:val="000000"/>
                <w:sz w:val="18"/>
                <w:szCs w:val="18"/>
              </w:rPr>
              <w:t>10</w:t>
            </w:r>
          </w:p>
        </w:tc>
        <w:tc>
          <w:tcPr>
            <w:tcW w:w="372" w:type="pct"/>
            <w:shd w:val="clear" w:color="auto" w:fill="FFFFFF" w:themeFill="background1"/>
          </w:tcPr>
          <w:p w14:paraId="09614205" w14:textId="77777777" w:rsidR="00FC7D95" w:rsidRPr="00986144" w:rsidRDefault="00FC7D95" w:rsidP="00FC7D95">
            <w:pPr>
              <w:spacing w:line="240" w:lineRule="auto"/>
              <w:jc w:val="center"/>
              <w:rPr>
                <w:rFonts w:ascii="Times New Roman" w:hAnsi="Times New Roman"/>
                <w:i/>
                <w:color w:val="000000"/>
                <w:spacing w:val="-2"/>
                <w:sz w:val="18"/>
                <w:szCs w:val="18"/>
              </w:rPr>
            </w:pPr>
            <w:r w:rsidRPr="00986144">
              <w:rPr>
                <w:rFonts w:ascii="Times New Roman" w:hAnsi="Times New Roman"/>
                <w:i/>
                <w:color w:val="000000"/>
                <w:spacing w:val="-2"/>
                <w:sz w:val="18"/>
                <w:szCs w:val="18"/>
              </w:rPr>
              <w:t>Łącznie</w:t>
            </w:r>
            <w:r w:rsidRPr="00986144" w:rsidDel="0073273A">
              <w:rPr>
                <w:rFonts w:ascii="Times New Roman" w:hAnsi="Times New Roman"/>
                <w:i/>
                <w:color w:val="000000"/>
                <w:spacing w:val="-2"/>
                <w:sz w:val="18"/>
                <w:szCs w:val="18"/>
              </w:rPr>
              <w:t xml:space="preserve"> </w:t>
            </w:r>
            <w:r w:rsidRPr="00986144">
              <w:rPr>
                <w:rFonts w:ascii="Times New Roman" w:hAnsi="Times New Roman"/>
                <w:i/>
                <w:color w:val="000000"/>
                <w:spacing w:val="-2"/>
                <w:sz w:val="18"/>
                <w:szCs w:val="18"/>
              </w:rPr>
              <w:t>(0-10)</w:t>
            </w:r>
          </w:p>
        </w:tc>
      </w:tr>
      <w:tr w:rsidR="00FC7D95" w:rsidRPr="008B4FE6" w14:paraId="5EF43321" w14:textId="77777777" w:rsidTr="00FC7D95">
        <w:trPr>
          <w:trHeight w:val="842"/>
        </w:trPr>
        <w:tc>
          <w:tcPr>
            <w:tcW w:w="844" w:type="pct"/>
            <w:gridSpan w:val="2"/>
            <w:vMerge w:val="restart"/>
            <w:shd w:val="clear" w:color="auto" w:fill="FFFFFF" w:themeFill="background1"/>
          </w:tcPr>
          <w:p w14:paraId="1524FC71" w14:textId="77777777" w:rsidR="00FC7D95" w:rsidRPr="00986144" w:rsidRDefault="00FC7D95" w:rsidP="00FC7D95">
            <w:pPr>
              <w:rPr>
                <w:rFonts w:ascii="Times New Roman" w:hAnsi="Times New Roman"/>
                <w:color w:val="000000"/>
                <w:sz w:val="18"/>
                <w:szCs w:val="18"/>
              </w:rPr>
            </w:pPr>
            <w:r w:rsidRPr="00986144">
              <w:rPr>
                <w:rFonts w:ascii="Times New Roman" w:hAnsi="Times New Roman"/>
                <w:color w:val="000000"/>
                <w:sz w:val="18"/>
                <w:szCs w:val="18"/>
              </w:rPr>
              <w:t>W ujęciu pieniężnym</w:t>
            </w:r>
          </w:p>
          <w:p w14:paraId="213FC5E2" w14:textId="77777777" w:rsidR="00FC7D95" w:rsidRPr="00986144" w:rsidRDefault="00FC7D95" w:rsidP="00FC7D95">
            <w:pPr>
              <w:rPr>
                <w:rFonts w:ascii="Times New Roman" w:hAnsi="Times New Roman"/>
                <w:spacing w:val="-2"/>
                <w:sz w:val="18"/>
                <w:szCs w:val="18"/>
              </w:rPr>
            </w:pPr>
            <w:r w:rsidRPr="00986144">
              <w:rPr>
                <w:rFonts w:ascii="Times New Roman" w:hAnsi="Times New Roman"/>
                <w:spacing w:val="-2"/>
                <w:sz w:val="18"/>
                <w:szCs w:val="18"/>
              </w:rPr>
              <w:t xml:space="preserve">(w mln zł, </w:t>
            </w:r>
          </w:p>
          <w:p w14:paraId="1AAA8DF9" w14:textId="77777777" w:rsidR="00FC7D95" w:rsidRPr="00986144" w:rsidRDefault="00FC7D95" w:rsidP="00FC7D95">
            <w:pPr>
              <w:spacing w:line="240" w:lineRule="auto"/>
              <w:rPr>
                <w:rFonts w:ascii="Times New Roman" w:hAnsi="Times New Roman"/>
                <w:color w:val="000000"/>
                <w:sz w:val="18"/>
                <w:szCs w:val="18"/>
              </w:rPr>
            </w:pPr>
            <w:r w:rsidRPr="00986144">
              <w:rPr>
                <w:rFonts w:ascii="Times New Roman" w:hAnsi="Times New Roman"/>
                <w:spacing w:val="-2"/>
                <w:sz w:val="18"/>
                <w:szCs w:val="18"/>
              </w:rPr>
              <w:t>ceny stałe z …… r.)</w:t>
            </w:r>
          </w:p>
        </w:tc>
        <w:tc>
          <w:tcPr>
            <w:tcW w:w="567" w:type="pct"/>
            <w:gridSpan w:val="2"/>
            <w:shd w:val="clear" w:color="auto" w:fill="FFFFFF" w:themeFill="background1"/>
          </w:tcPr>
          <w:p w14:paraId="53A5B91E" w14:textId="77777777" w:rsidR="00FC7D95" w:rsidRPr="00986144" w:rsidRDefault="00FC7D95" w:rsidP="00FC7D95">
            <w:pPr>
              <w:spacing w:line="240" w:lineRule="auto"/>
              <w:rPr>
                <w:rFonts w:ascii="Times New Roman" w:hAnsi="Times New Roman"/>
                <w:color w:val="000000"/>
                <w:sz w:val="18"/>
                <w:szCs w:val="18"/>
              </w:rPr>
            </w:pPr>
            <w:r w:rsidRPr="00986144">
              <w:rPr>
                <w:rFonts w:ascii="Times New Roman" w:hAnsi="Times New Roman"/>
                <w:color w:val="000000"/>
                <w:sz w:val="18"/>
                <w:szCs w:val="18"/>
              </w:rPr>
              <w:t>duże przedsiębiorstwa</w:t>
            </w:r>
          </w:p>
        </w:tc>
        <w:tc>
          <w:tcPr>
            <w:tcW w:w="597" w:type="pct"/>
            <w:gridSpan w:val="2"/>
            <w:shd w:val="clear" w:color="auto" w:fill="FFFFFF" w:themeFill="background1"/>
          </w:tcPr>
          <w:p w14:paraId="38288749" w14:textId="485190A6" w:rsidR="00FC7D95" w:rsidRPr="00986144" w:rsidRDefault="00FC7D95" w:rsidP="00FC7D95">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706" w:type="pct"/>
            <w:gridSpan w:val="4"/>
            <w:shd w:val="clear" w:color="auto" w:fill="FFFFFF" w:themeFill="background1"/>
          </w:tcPr>
          <w:p w14:paraId="20BD9A1A" w14:textId="7C26FC34" w:rsidR="00FC7D95" w:rsidRPr="00986144" w:rsidRDefault="00FC7D95" w:rsidP="00FC7D95">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627" w:type="pct"/>
            <w:gridSpan w:val="3"/>
            <w:shd w:val="clear" w:color="auto" w:fill="FFFFFF" w:themeFill="background1"/>
          </w:tcPr>
          <w:p w14:paraId="0C136CF1" w14:textId="7EA6572A" w:rsidR="00FC7D95" w:rsidRPr="00986144" w:rsidRDefault="00FC7D95" w:rsidP="00FC7D95">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362" w:type="pct"/>
            <w:gridSpan w:val="2"/>
            <w:shd w:val="clear" w:color="auto" w:fill="FFFFFF" w:themeFill="background1"/>
          </w:tcPr>
          <w:p w14:paraId="0A392C6A" w14:textId="4E6AE543" w:rsidR="00FC7D95" w:rsidRPr="00986144" w:rsidRDefault="00FC7D95" w:rsidP="00FC7D95">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301" w:type="pct"/>
            <w:gridSpan w:val="2"/>
            <w:shd w:val="clear" w:color="auto" w:fill="FFFFFF" w:themeFill="background1"/>
          </w:tcPr>
          <w:p w14:paraId="290583F9" w14:textId="75EA10AE" w:rsidR="00FC7D95" w:rsidRPr="00986144" w:rsidRDefault="00FC7D95" w:rsidP="00FC7D95">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625" w:type="pct"/>
            <w:gridSpan w:val="2"/>
            <w:shd w:val="clear" w:color="auto" w:fill="FFFFFF" w:themeFill="background1"/>
          </w:tcPr>
          <w:p w14:paraId="68F21D90" w14:textId="2F8EDF25" w:rsidR="00FC7D95" w:rsidRPr="00986144" w:rsidRDefault="00FC7D95" w:rsidP="00FC7D95">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372" w:type="pct"/>
            <w:shd w:val="clear" w:color="auto" w:fill="FFFFFF" w:themeFill="background1"/>
          </w:tcPr>
          <w:p w14:paraId="13C326F3" w14:textId="171352B4" w:rsidR="00FC7D95" w:rsidRPr="00986144" w:rsidRDefault="00FC7D95" w:rsidP="00FC7D95">
            <w:pPr>
              <w:spacing w:line="240" w:lineRule="auto"/>
              <w:rPr>
                <w:rFonts w:ascii="Times New Roman" w:hAnsi="Times New Roman"/>
                <w:color w:val="000000"/>
                <w:spacing w:val="-2"/>
                <w:sz w:val="18"/>
                <w:szCs w:val="18"/>
              </w:rPr>
            </w:pPr>
            <w:r w:rsidRPr="00986144">
              <w:rPr>
                <w:rFonts w:ascii="Times New Roman" w:eastAsia="Times New Roman" w:hAnsi="Times New Roman"/>
                <w:sz w:val="18"/>
                <w:szCs w:val="18"/>
              </w:rPr>
              <w:t>0,00</w:t>
            </w:r>
          </w:p>
        </w:tc>
      </w:tr>
      <w:tr w:rsidR="00FC7D95" w:rsidRPr="008B4FE6" w14:paraId="257FE8E0" w14:textId="77777777" w:rsidTr="00FC7D95">
        <w:trPr>
          <w:trHeight w:val="1137"/>
        </w:trPr>
        <w:tc>
          <w:tcPr>
            <w:tcW w:w="844" w:type="pct"/>
            <w:gridSpan w:val="2"/>
            <w:vMerge/>
          </w:tcPr>
          <w:p w14:paraId="4853B841" w14:textId="77777777" w:rsidR="00FC7D95" w:rsidRPr="00986144" w:rsidRDefault="00FC7D95" w:rsidP="00FC7D95">
            <w:pPr>
              <w:spacing w:line="240" w:lineRule="auto"/>
              <w:rPr>
                <w:rFonts w:ascii="Times New Roman" w:hAnsi="Times New Roman"/>
                <w:color w:val="000000"/>
                <w:sz w:val="18"/>
                <w:szCs w:val="18"/>
              </w:rPr>
            </w:pPr>
          </w:p>
        </w:tc>
        <w:tc>
          <w:tcPr>
            <w:tcW w:w="567" w:type="pct"/>
            <w:gridSpan w:val="2"/>
            <w:shd w:val="clear" w:color="auto" w:fill="FFFFFF" w:themeFill="background1"/>
          </w:tcPr>
          <w:p w14:paraId="556EAD74" w14:textId="77777777" w:rsidR="00FC7D95" w:rsidRPr="00986144" w:rsidRDefault="00FC7D95" w:rsidP="00FC7D95">
            <w:pPr>
              <w:spacing w:line="240" w:lineRule="auto"/>
              <w:rPr>
                <w:rFonts w:ascii="Times New Roman" w:hAnsi="Times New Roman"/>
                <w:color w:val="000000"/>
                <w:sz w:val="18"/>
                <w:szCs w:val="18"/>
              </w:rPr>
            </w:pPr>
            <w:r w:rsidRPr="00986144">
              <w:rPr>
                <w:rFonts w:ascii="Times New Roman" w:hAnsi="Times New Roman"/>
                <w:color w:val="000000"/>
                <w:sz w:val="18"/>
                <w:szCs w:val="18"/>
              </w:rPr>
              <w:t>sektor mikro-, małych i średnich przedsiębiorstw</w:t>
            </w:r>
          </w:p>
        </w:tc>
        <w:tc>
          <w:tcPr>
            <w:tcW w:w="597" w:type="pct"/>
            <w:gridSpan w:val="2"/>
            <w:shd w:val="clear" w:color="auto" w:fill="FFFFFF" w:themeFill="background1"/>
          </w:tcPr>
          <w:p w14:paraId="50125231" w14:textId="5B588913" w:rsidR="00FC7D95" w:rsidRPr="00986144" w:rsidRDefault="00FC7D95" w:rsidP="00FC7D95">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706" w:type="pct"/>
            <w:gridSpan w:val="4"/>
            <w:shd w:val="clear" w:color="auto" w:fill="FFFFFF" w:themeFill="background1"/>
          </w:tcPr>
          <w:p w14:paraId="5A25747A" w14:textId="6E8F74E4" w:rsidR="00FC7D95" w:rsidRPr="00986144" w:rsidRDefault="00FC7D95" w:rsidP="00FC7D95">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627" w:type="pct"/>
            <w:gridSpan w:val="3"/>
            <w:shd w:val="clear" w:color="auto" w:fill="FFFFFF" w:themeFill="background1"/>
          </w:tcPr>
          <w:p w14:paraId="09B8D95D" w14:textId="10844A9D" w:rsidR="00FC7D95" w:rsidRPr="00986144" w:rsidRDefault="00FC7D95" w:rsidP="00FC7D95">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362" w:type="pct"/>
            <w:gridSpan w:val="2"/>
            <w:shd w:val="clear" w:color="auto" w:fill="FFFFFF" w:themeFill="background1"/>
          </w:tcPr>
          <w:p w14:paraId="78BEFD2A" w14:textId="3E2F1F35" w:rsidR="00FC7D95" w:rsidRPr="00986144" w:rsidRDefault="00FC7D95" w:rsidP="00FC7D95">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301" w:type="pct"/>
            <w:gridSpan w:val="2"/>
            <w:shd w:val="clear" w:color="auto" w:fill="FFFFFF" w:themeFill="background1"/>
          </w:tcPr>
          <w:p w14:paraId="27A76422" w14:textId="30CD1A9B" w:rsidR="00FC7D95" w:rsidRPr="00986144" w:rsidRDefault="00FC7D95" w:rsidP="00FC7D95">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625" w:type="pct"/>
            <w:gridSpan w:val="2"/>
            <w:shd w:val="clear" w:color="auto" w:fill="FFFFFF" w:themeFill="background1"/>
          </w:tcPr>
          <w:p w14:paraId="49206A88" w14:textId="47828ACB" w:rsidR="00FC7D95" w:rsidRPr="00986144" w:rsidRDefault="00FC7D95" w:rsidP="00FC7D95">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372" w:type="pct"/>
            <w:shd w:val="clear" w:color="auto" w:fill="FFFFFF" w:themeFill="background1"/>
          </w:tcPr>
          <w:p w14:paraId="67B7A70C" w14:textId="76136975" w:rsidR="00FC7D95" w:rsidRPr="00986144" w:rsidRDefault="00FC7D95" w:rsidP="00FC7D95">
            <w:pPr>
              <w:spacing w:line="240" w:lineRule="auto"/>
              <w:rPr>
                <w:rFonts w:ascii="Times New Roman" w:hAnsi="Times New Roman"/>
                <w:color w:val="000000"/>
                <w:spacing w:val="-2"/>
                <w:sz w:val="18"/>
                <w:szCs w:val="18"/>
              </w:rPr>
            </w:pPr>
            <w:r w:rsidRPr="00986144">
              <w:rPr>
                <w:rFonts w:ascii="Times New Roman" w:eastAsia="Times New Roman" w:hAnsi="Times New Roman"/>
                <w:sz w:val="18"/>
                <w:szCs w:val="18"/>
              </w:rPr>
              <w:t>0,00</w:t>
            </w:r>
          </w:p>
        </w:tc>
      </w:tr>
      <w:tr w:rsidR="00FC7D95" w:rsidRPr="008B4FE6" w14:paraId="05FF9325" w14:textId="77777777" w:rsidTr="00FC7D95">
        <w:trPr>
          <w:trHeight w:val="142"/>
        </w:trPr>
        <w:tc>
          <w:tcPr>
            <w:tcW w:w="844" w:type="pct"/>
            <w:gridSpan w:val="2"/>
            <w:vMerge/>
          </w:tcPr>
          <w:p w14:paraId="71887C79" w14:textId="77777777" w:rsidR="00FC7D95" w:rsidRPr="00986144" w:rsidRDefault="00FC7D95" w:rsidP="00FC7D95">
            <w:pPr>
              <w:spacing w:line="240" w:lineRule="auto"/>
              <w:rPr>
                <w:rFonts w:ascii="Times New Roman" w:hAnsi="Times New Roman"/>
                <w:color w:val="000000"/>
                <w:sz w:val="18"/>
                <w:szCs w:val="18"/>
              </w:rPr>
            </w:pPr>
          </w:p>
        </w:tc>
        <w:tc>
          <w:tcPr>
            <w:tcW w:w="567" w:type="pct"/>
            <w:gridSpan w:val="2"/>
            <w:shd w:val="clear" w:color="auto" w:fill="FFFFFF" w:themeFill="background1"/>
          </w:tcPr>
          <w:p w14:paraId="15AD400A" w14:textId="77777777" w:rsidR="00FC7D95" w:rsidRPr="00986144" w:rsidRDefault="00FC7D95" w:rsidP="00FC7D95">
            <w:pPr>
              <w:spacing w:line="240" w:lineRule="auto"/>
              <w:rPr>
                <w:rFonts w:ascii="Times New Roman" w:hAnsi="Times New Roman"/>
                <w:color w:val="000000"/>
                <w:sz w:val="18"/>
                <w:szCs w:val="18"/>
              </w:rPr>
            </w:pPr>
            <w:r w:rsidRPr="00986144">
              <w:rPr>
                <w:rFonts w:ascii="Times New Roman" w:hAnsi="Times New Roman"/>
                <w:sz w:val="18"/>
                <w:szCs w:val="18"/>
              </w:rPr>
              <w:t>rodzina, obywatele oraz gospodarstwa domowe</w:t>
            </w:r>
          </w:p>
        </w:tc>
        <w:tc>
          <w:tcPr>
            <w:tcW w:w="597" w:type="pct"/>
            <w:gridSpan w:val="2"/>
            <w:shd w:val="clear" w:color="auto" w:fill="FFFFFF" w:themeFill="background1"/>
          </w:tcPr>
          <w:p w14:paraId="3B7FD67C" w14:textId="61C193EE" w:rsidR="00FC7D95" w:rsidRPr="00986144" w:rsidRDefault="00FC7D95" w:rsidP="00FC7D95">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706" w:type="pct"/>
            <w:gridSpan w:val="4"/>
            <w:shd w:val="clear" w:color="auto" w:fill="FFFFFF" w:themeFill="background1"/>
          </w:tcPr>
          <w:p w14:paraId="38D6B9B6" w14:textId="5A54F6FD" w:rsidR="00FC7D95" w:rsidRPr="00986144" w:rsidRDefault="00FC7D95" w:rsidP="00FC7D95">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627" w:type="pct"/>
            <w:gridSpan w:val="3"/>
            <w:shd w:val="clear" w:color="auto" w:fill="FFFFFF" w:themeFill="background1"/>
          </w:tcPr>
          <w:p w14:paraId="22F860BB" w14:textId="08942679" w:rsidR="00FC7D95" w:rsidRPr="00986144" w:rsidRDefault="00FC7D95" w:rsidP="00FC7D95">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362" w:type="pct"/>
            <w:gridSpan w:val="2"/>
            <w:shd w:val="clear" w:color="auto" w:fill="FFFFFF" w:themeFill="background1"/>
          </w:tcPr>
          <w:p w14:paraId="698536F5" w14:textId="3694AC46" w:rsidR="00FC7D95" w:rsidRPr="00986144" w:rsidRDefault="00FC7D95" w:rsidP="00FC7D95">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301" w:type="pct"/>
            <w:gridSpan w:val="2"/>
            <w:shd w:val="clear" w:color="auto" w:fill="FFFFFF" w:themeFill="background1"/>
          </w:tcPr>
          <w:p w14:paraId="7BC1BAF2" w14:textId="00A1DBBD" w:rsidR="00FC7D95" w:rsidRPr="00986144" w:rsidRDefault="00FC7D95" w:rsidP="00FC7D95">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625" w:type="pct"/>
            <w:gridSpan w:val="2"/>
            <w:shd w:val="clear" w:color="auto" w:fill="FFFFFF" w:themeFill="background1"/>
          </w:tcPr>
          <w:p w14:paraId="61C988F9" w14:textId="5C77A11F" w:rsidR="00FC7D95" w:rsidRPr="00986144" w:rsidRDefault="00FC7D95" w:rsidP="00FC7D95">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372" w:type="pct"/>
            <w:shd w:val="clear" w:color="auto" w:fill="FFFFFF" w:themeFill="background1"/>
          </w:tcPr>
          <w:p w14:paraId="3B22BB7D" w14:textId="746D1CB1" w:rsidR="00FC7D95" w:rsidRPr="00986144" w:rsidRDefault="00FC7D95" w:rsidP="00FC7D95">
            <w:pPr>
              <w:spacing w:line="240" w:lineRule="auto"/>
              <w:rPr>
                <w:rFonts w:ascii="Times New Roman" w:hAnsi="Times New Roman"/>
                <w:color w:val="000000"/>
                <w:spacing w:val="-2"/>
                <w:sz w:val="18"/>
                <w:szCs w:val="18"/>
              </w:rPr>
            </w:pPr>
            <w:r w:rsidRPr="00986144">
              <w:rPr>
                <w:rFonts w:ascii="Times New Roman" w:eastAsia="Times New Roman" w:hAnsi="Times New Roman"/>
                <w:sz w:val="18"/>
                <w:szCs w:val="18"/>
              </w:rPr>
              <w:t>0,00</w:t>
            </w:r>
          </w:p>
        </w:tc>
      </w:tr>
      <w:tr w:rsidR="00FC7D95" w:rsidRPr="008B4FE6" w14:paraId="34649E9B" w14:textId="77777777" w:rsidTr="00FC7D95">
        <w:trPr>
          <w:trHeight w:val="502"/>
        </w:trPr>
        <w:tc>
          <w:tcPr>
            <w:tcW w:w="844" w:type="pct"/>
            <w:gridSpan w:val="2"/>
            <w:vMerge/>
          </w:tcPr>
          <w:p w14:paraId="17B246DD" w14:textId="77777777" w:rsidR="00FC7D95" w:rsidRPr="00986144" w:rsidRDefault="00FC7D95" w:rsidP="00FC7D95">
            <w:pPr>
              <w:spacing w:line="240" w:lineRule="auto"/>
              <w:rPr>
                <w:rFonts w:ascii="Times New Roman" w:hAnsi="Times New Roman"/>
                <w:color w:val="000000"/>
                <w:sz w:val="18"/>
                <w:szCs w:val="18"/>
              </w:rPr>
            </w:pPr>
          </w:p>
        </w:tc>
        <w:tc>
          <w:tcPr>
            <w:tcW w:w="567" w:type="pct"/>
            <w:gridSpan w:val="2"/>
            <w:shd w:val="clear" w:color="auto" w:fill="FFFFFF" w:themeFill="background1"/>
          </w:tcPr>
          <w:p w14:paraId="728943B2" w14:textId="77777777" w:rsidR="00FC7D95" w:rsidRPr="00986144" w:rsidRDefault="00FC7D95" w:rsidP="00FC7D95">
            <w:pPr>
              <w:spacing w:line="240" w:lineRule="auto"/>
              <w:rPr>
                <w:rFonts w:ascii="Times New Roman" w:hAnsi="Times New Roman"/>
                <w:color w:val="000000"/>
                <w:sz w:val="18"/>
                <w:szCs w:val="18"/>
              </w:rPr>
            </w:pPr>
            <w:r w:rsidRPr="00986144">
              <w:rPr>
                <w:rFonts w:ascii="Times New Roman" w:hAnsi="Times New Roman"/>
                <w:color w:val="000000"/>
                <w:sz w:val="18"/>
                <w:szCs w:val="18"/>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986144">
              <w:rPr>
                <w:rFonts w:ascii="Times New Roman" w:hAnsi="Times New Roman"/>
                <w:color w:val="000000"/>
                <w:sz w:val="18"/>
                <w:szCs w:val="18"/>
              </w:rPr>
              <w:instrText xml:space="preserve"> FORMTEXT </w:instrText>
            </w:r>
            <w:r w:rsidRPr="00986144">
              <w:rPr>
                <w:rFonts w:ascii="Times New Roman" w:hAnsi="Times New Roman"/>
                <w:color w:val="000000"/>
                <w:sz w:val="18"/>
                <w:szCs w:val="18"/>
              </w:rPr>
            </w:r>
            <w:r w:rsidRPr="00986144">
              <w:rPr>
                <w:rFonts w:ascii="Times New Roman" w:hAnsi="Times New Roman"/>
                <w:color w:val="000000"/>
                <w:sz w:val="18"/>
                <w:szCs w:val="18"/>
              </w:rPr>
              <w:fldChar w:fldCharType="separate"/>
            </w:r>
            <w:r w:rsidRPr="00986144">
              <w:rPr>
                <w:rFonts w:ascii="Times New Roman" w:hAnsi="Times New Roman"/>
                <w:noProof/>
                <w:color w:val="000000"/>
                <w:sz w:val="18"/>
                <w:szCs w:val="18"/>
              </w:rPr>
              <w:t>(dodaj/usuń)</w:t>
            </w:r>
            <w:r w:rsidRPr="00986144">
              <w:rPr>
                <w:rFonts w:ascii="Times New Roman" w:hAnsi="Times New Roman"/>
                <w:color w:val="000000"/>
                <w:sz w:val="18"/>
                <w:szCs w:val="18"/>
              </w:rPr>
              <w:fldChar w:fldCharType="end"/>
            </w:r>
          </w:p>
        </w:tc>
        <w:tc>
          <w:tcPr>
            <w:tcW w:w="597" w:type="pct"/>
            <w:gridSpan w:val="2"/>
            <w:shd w:val="clear" w:color="auto" w:fill="FFFFFF" w:themeFill="background1"/>
          </w:tcPr>
          <w:p w14:paraId="6BF89DA3" w14:textId="18F2B654" w:rsidR="00FC7D95" w:rsidRPr="00986144" w:rsidRDefault="00FC7D95" w:rsidP="00FC7D95">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706" w:type="pct"/>
            <w:gridSpan w:val="4"/>
            <w:shd w:val="clear" w:color="auto" w:fill="FFFFFF" w:themeFill="background1"/>
          </w:tcPr>
          <w:p w14:paraId="5C3E0E74" w14:textId="32496A17" w:rsidR="00FC7D95" w:rsidRPr="00986144" w:rsidRDefault="00FC7D95" w:rsidP="00FC7D95">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627" w:type="pct"/>
            <w:gridSpan w:val="3"/>
            <w:shd w:val="clear" w:color="auto" w:fill="FFFFFF" w:themeFill="background1"/>
          </w:tcPr>
          <w:p w14:paraId="66A1FAB9" w14:textId="4577C953" w:rsidR="00FC7D95" w:rsidRPr="00986144" w:rsidRDefault="00FC7D95" w:rsidP="00FC7D95">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362" w:type="pct"/>
            <w:gridSpan w:val="2"/>
            <w:shd w:val="clear" w:color="auto" w:fill="FFFFFF" w:themeFill="background1"/>
          </w:tcPr>
          <w:p w14:paraId="76BB753C" w14:textId="1F734E3F" w:rsidR="00FC7D95" w:rsidRPr="00986144" w:rsidRDefault="00FC7D95" w:rsidP="00FC7D95">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301" w:type="pct"/>
            <w:gridSpan w:val="2"/>
            <w:shd w:val="clear" w:color="auto" w:fill="FFFFFF" w:themeFill="background1"/>
          </w:tcPr>
          <w:p w14:paraId="513DA1E0" w14:textId="258D793E" w:rsidR="00FC7D95" w:rsidRPr="00986144" w:rsidRDefault="00FC7D95" w:rsidP="00FC7D95">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625" w:type="pct"/>
            <w:gridSpan w:val="2"/>
            <w:shd w:val="clear" w:color="auto" w:fill="FFFFFF" w:themeFill="background1"/>
          </w:tcPr>
          <w:p w14:paraId="75CAC6F5" w14:textId="3F70F566" w:rsidR="00FC7D95" w:rsidRPr="00986144" w:rsidRDefault="00FC7D95" w:rsidP="00FC7D95">
            <w:pPr>
              <w:spacing w:line="240" w:lineRule="auto"/>
              <w:rPr>
                <w:rFonts w:ascii="Times New Roman" w:hAnsi="Times New Roman"/>
                <w:color w:val="000000"/>
                <w:sz w:val="18"/>
                <w:szCs w:val="18"/>
              </w:rPr>
            </w:pPr>
            <w:r w:rsidRPr="00986144">
              <w:rPr>
                <w:rFonts w:ascii="Times New Roman" w:eastAsia="Times New Roman" w:hAnsi="Times New Roman"/>
                <w:sz w:val="18"/>
                <w:szCs w:val="18"/>
              </w:rPr>
              <w:t>0,00</w:t>
            </w:r>
          </w:p>
        </w:tc>
        <w:tc>
          <w:tcPr>
            <w:tcW w:w="372" w:type="pct"/>
            <w:shd w:val="clear" w:color="auto" w:fill="FFFFFF" w:themeFill="background1"/>
          </w:tcPr>
          <w:p w14:paraId="66060428" w14:textId="6B831488" w:rsidR="00FC7D95" w:rsidRPr="00986144" w:rsidRDefault="00FC7D95" w:rsidP="00FC7D95">
            <w:pPr>
              <w:spacing w:line="240" w:lineRule="auto"/>
              <w:rPr>
                <w:rFonts w:ascii="Times New Roman" w:hAnsi="Times New Roman"/>
                <w:color w:val="000000"/>
                <w:spacing w:val="-2"/>
                <w:sz w:val="18"/>
                <w:szCs w:val="18"/>
              </w:rPr>
            </w:pPr>
            <w:r w:rsidRPr="00986144">
              <w:rPr>
                <w:rFonts w:ascii="Times New Roman" w:eastAsia="Times New Roman" w:hAnsi="Times New Roman"/>
                <w:sz w:val="18"/>
                <w:szCs w:val="18"/>
              </w:rPr>
              <w:t>0,00</w:t>
            </w:r>
          </w:p>
        </w:tc>
      </w:tr>
      <w:tr w:rsidR="00FC7D95" w:rsidRPr="008B4FE6" w14:paraId="46806EEE" w14:textId="77777777" w:rsidTr="00FC7D95">
        <w:trPr>
          <w:trHeight w:val="693"/>
        </w:trPr>
        <w:tc>
          <w:tcPr>
            <w:tcW w:w="844" w:type="pct"/>
            <w:gridSpan w:val="2"/>
            <w:vMerge w:val="restart"/>
            <w:shd w:val="clear" w:color="auto" w:fill="FFFFFF" w:themeFill="background1"/>
          </w:tcPr>
          <w:p w14:paraId="2F9CD48B" w14:textId="77777777" w:rsidR="00FC7D95" w:rsidRPr="00986144" w:rsidRDefault="00FC7D95" w:rsidP="00FC7D95">
            <w:pPr>
              <w:spacing w:line="240" w:lineRule="auto"/>
              <w:rPr>
                <w:rFonts w:ascii="Times New Roman" w:hAnsi="Times New Roman"/>
                <w:color w:val="000000"/>
                <w:sz w:val="18"/>
                <w:szCs w:val="18"/>
              </w:rPr>
            </w:pPr>
            <w:r w:rsidRPr="00986144">
              <w:rPr>
                <w:rFonts w:ascii="Times New Roman" w:hAnsi="Times New Roman"/>
                <w:color w:val="000000"/>
                <w:sz w:val="18"/>
                <w:szCs w:val="18"/>
              </w:rPr>
              <w:t>W ujęciu niepieniężnym</w:t>
            </w:r>
          </w:p>
        </w:tc>
        <w:tc>
          <w:tcPr>
            <w:tcW w:w="567" w:type="pct"/>
            <w:gridSpan w:val="2"/>
            <w:shd w:val="clear" w:color="auto" w:fill="FFFFFF" w:themeFill="background1"/>
          </w:tcPr>
          <w:p w14:paraId="00A634B7" w14:textId="77777777" w:rsidR="00FC7D95" w:rsidRPr="00986144" w:rsidRDefault="00FC7D95" w:rsidP="00FC7D95">
            <w:pPr>
              <w:spacing w:line="240" w:lineRule="auto"/>
              <w:rPr>
                <w:rFonts w:ascii="Times New Roman" w:hAnsi="Times New Roman"/>
                <w:color w:val="000000"/>
                <w:sz w:val="18"/>
                <w:szCs w:val="18"/>
              </w:rPr>
            </w:pPr>
            <w:r w:rsidRPr="00986144">
              <w:rPr>
                <w:rFonts w:ascii="Times New Roman" w:hAnsi="Times New Roman"/>
                <w:color w:val="000000"/>
                <w:sz w:val="18"/>
                <w:szCs w:val="18"/>
              </w:rPr>
              <w:t>duże przedsiębiorstwa</w:t>
            </w:r>
          </w:p>
        </w:tc>
        <w:tc>
          <w:tcPr>
            <w:tcW w:w="3589" w:type="pct"/>
            <w:gridSpan w:val="16"/>
            <w:shd w:val="clear" w:color="auto" w:fill="FFFFFF" w:themeFill="background1"/>
          </w:tcPr>
          <w:p w14:paraId="1D0656FE" w14:textId="67294171" w:rsidR="00FC7D95" w:rsidRPr="00986144" w:rsidRDefault="00FC7D95" w:rsidP="00FC7D95">
            <w:pPr>
              <w:spacing w:line="240" w:lineRule="auto"/>
              <w:rPr>
                <w:rFonts w:ascii="Times New Roman" w:hAnsi="Times New Roman"/>
                <w:color w:val="000000"/>
                <w:spacing w:val="-2"/>
                <w:sz w:val="18"/>
                <w:szCs w:val="18"/>
              </w:rPr>
            </w:pPr>
            <w:r w:rsidRPr="00986144">
              <w:rPr>
                <w:rFonts w:ascii="Times New Roman" w:eastAsia="Times New Roman" w:hAnsi="Times New Roman"/>
                <w:sz w:val="18"/>
                <w:szCs w:val="18"/>
              </w:rPr>
              <w:t>0,00</w:t>
            </w:r>
          </w:p>
        </w:tc>
      </w:tr>
      <w:tr w:rsidR="00FC7D95" w:rsidRPr="008B4FE6" w14:paraId="59317F3B" w14:textId="77777777" w:rsidTr="00FC7D95">
        <w:trPr>
          <w:trHeight w:val="142"/>
        </w:trPr>
        <w:tc>
          <w:tcPr>
            <w:tcW w:w="844" w:type="pct"/>
            <w:gridSpan w:val="2"/>
            <w:vMerge/>
          </w:tcPr>
          <w:p w14:paraId="7B37605A" w14:textId="77777777" w:rsidR="00FC7D95" w:rsidRPr="00986144" w:rsidRDefault="00FC7D95" w:rsidP="00FC7D95">
            <w:pPr>
              <w:spacing w:line="240" w:lineRule="auto"/>
              <w:rPr>
                <w:rFonts w:ascii="Times New Roman" w:hAnsi="Times New Roman"/>
                <w:color w:val="000000"/>
                <w:sz w:val="18"/>
                <w:szCs w:val="18"/>
              </w:rPr>
            </w:pPr>
          </w:p>
        </w:tc>
        <w:tc>
          <w:tcPr>
            <w:tcW w:w="567" w:type="pct"/>
            <w:gridSpan w:val="2"/>
            <w:shd w:val="clear" w:color="auto" w:fill="FFFFFF" w:themeFill="background1"/>
          </w:tcPr>
          <w:p w14:paraId="3437270C" w14:textId="77777777" w:rsidR="00FC7D95" w:rsidRPr="00986144" w:rsidRDefault="00FC7D95" w:rsidP="00FC7D95">
            <w:pPr>
              <w:spacing w:line="240" w:lineRule="auto"/>
              <w:rPr>
                <w:rFonts w:ascii="Times New Roman" w:hAnsi="Times New Roman"/>
                <w:color w:val="000000"/>
                <w:sz w:val="18"/>
                <w:szCs w:val="18"/>
              </w:rPr>
            </w:pPr>
            <w:r w:rsidRPr="00986144">
              <w:rPr>
                <w:rFonts w:ascii="Times New Roman" w:hAnsi="Times New Roman"/>
                <w:color w:val="000000"/>
                <w:sz w:val="18"/>
                <w:szCs w:val="18"/>
              </w:rPr>
              <w:t>sektor mikro-, małych i średnich przedsiębiorstw</w:t>
            </w:r>
          </w:p>
        </w:tc>
        <w:tc>
          <w:tcPr>
            <w:tcW w:w="3589" w:type="pct"/>
            <w:gridSpan w:val="16"/>
            <w:shd w:val="clear" w:color="auto" w:fill="FFFFFF" w:themeFill="background1"/>
          </w:tcPr>
          <w:p w14:paraId="394798F2" w14:textId="34C08549" w:rsidR="00FC7D95" w:rsidRPr="00986144" w:rsidRDefault="00FC7D95" w:rsidP="00FC7D95">
            <w:pPr>
              <w:spacing w:line="240" w:lineRule="auto"/>
              <w:rPr>
                <w:rFonts w:ascii="Times New Roman" w:hAnsi="Times New Roman"/>
                <w:color w:val="000000"/>
                <w:spacing w:val="-2"/>
                <w:sz w:val="18"/>
                <w:szCs w:val="18"/>
              </w:rPr>
            </w:pPr>
            <w:r w:rsidRPr="00986144">
              <w:rPr>
                <w:rFonts w:ascii="Times New Roman" w:eastAsia="Times New Roman" w:hAnsi="Times New Roman"/>
                <w:sz w:val="18"/>
                <w:szCs w:val="18"/>
              </w:rPr>
              <w:t>Nie dotyczy</w:t>
            </w:r>
          </w:p>
        </w:tc>
      </w:tr>
      <w:tr w:rsidR="00FC7D95" w:rsidRPr="008B4FE6" w14:paraId="727B8AFA" w14:textId="77777777" w:rsidTr="00FC7D95">
        <w:trPr>
          <w:trHeight w:val="596"/>
        </w:trPr>
        <w:tc>
          <w:tcPr>
            <w:tcW w:w="844" w:type="pct"/>
            <w:gridSpan w:val="2"/>
            <w:vMerge/>
          </w:tcPr>
          <w:p w14:paraId="3889A505" w14:textId="77777777" w:rsidR="00FC7D95" w:rsidRPr="00986144" w:rsidRDefault="00FC7D95" w:rsidP="00FC7D95">
            <w:pPr>
              <w:spacing w:line="240" w:lineRule="auto"/>
              <w:rPr>
                <w:rFonts w:ascii="Times New Roman" w:hAnsi="Times New Roman"/>
                <w:color w:val="000000"/>
                <w:sz w:val="18"/>
                <w:szCs w:val="18"/>
              </w:rPr>
            </w:pPr>
          </w:p>
        </w:tc>
        <w:tc>
          <w:tcPr>
            <w:tcW w:w="567" w:type="pct"/>
            <w:gridSpan w:val="2"/>
            <w:shd w:val="clear" w:color="auto" w:fill="FFFFFF" w:themeFill="background1"/>
          </w:tcPr>
          <w:p w14:paraId="64E2CCC0" w14:textId="77777777" w:rsidR="00FC7D95" w:rsidRPr="00986144" w:rsidRDefault="00FC7D95" w:rsidP="00FC7D95">
            <w:pPr>
              <w:tabs>
                <w:tab w:val="right" w:pos="1936"/>
              </w:tabs>
              <w:spacing w:line="240" w:lineRule="auto"/>
              <w:rPr>
                <w:rFonts w:ascii="Times New Roman" w:hAnsi="Times New Roman"/>
                <w:color w:val="000000"/>
                <w:sz w:val="18"/>
                <w:szCs w:val="18"/>
              </w:rPr>
            </w:pPr>
            <w:r w:rsidRPr="00986144">
              <w:rPr>
                <w:rFonts w:ascii="Times New Roman" w:hAnsi="Times New Roman"/>
                <w:sz w:val="18"/>
                <w:szCs w:val="18"/>
              </w:rPr>
              <w:t>rodzina, obywatele oraz gospodarstwa domowe</w:t>
            </w:r>
            <w:r w:rsidRPr="00986144">
              <w:rPr>
                <w:rFonts w:ascii="Times New Roman" w:hAnsi="Times New Roman"/>
                <w:color w:val="000000"/>
                <w:sz w:val="18"/>
                <w:szCs w:val="18"/>
              </w:rPr>
              <w:t xml:space="preserve"> </w:t>
            </w:r>
          </w:p>
        </w:tc>
        <w:tc>
          <w:tcPr>
            <w:tcW w:w="3589" w:type="pct"/>
            <w:gridSpan w:val="16"/>
            <w:shd w:val="clear" w:color="auto" w:fill="FFFFFF" w:themeFill="background1"/>
          </w:tcPr>
          <w:p w14:paraId="29079D35" w14:textId="58C61750" w:rsidR="00FC7D95" w:rsidRPr="00986144" w:rsidRDefault="00FC7D95" w:rsidP="00FC7D95">
            <w:pPr>
              <w:spacing w:line="240" w:lineRule="auto"/>
              <w:rPr>
                <w:rFonts w:ascii="Times New Roman" w:hAnsi="Times New Roman"/>
                <w:color w:val="000000"/>
                <w:spacing w:val="-2"/>
                <w:sz w:val="18"/>
                <w:szCs w:val="18"/>
              </w:rPr>
            </w:pPr>
            <w:r w:rsidRPr="00986144">
              <w:rPr>
                <w:rFonts w:ascii="Times New Roman" w:eastAsia="Times New Roman" w:hAnsi="Times New Roman"/>
                <w:sz w:val="18"/>
                <w:szCs w:val="18"/>
              </w:rPr>
              <w:t>Nie dotyczy</w:t>
            </w:r>
          </w:p>
        </w:tc>
      </w:tr>
      <w:tr w:rsidR="00FC7D95" w:rsidRPr="008B4FE6" w14:paraId="378DAC6C" w14:textId="77777777" w:rsidTr="00FC7D95">
        <w:trPr>
          <w:trHeight w:val="240"/>
        </w:trPr>
        <w:tc>
          <w:tcPr>
            <w:tcW w:w="844" w:type="pct"/>
            <w:gridSpan w:val="2"/>
            <w:vMerge/>
          </w:tcPr>
          <w:p w14:paraId="17686DC7" w14:textId="77777777" w:rsidR="00FC7D95" w:rsidRPr="00986144" w:rsidRDefault="00FC7D95" w:rsidP="00FC7D95">
            <w:pPr>
              <w:spacing w:line="240" w:lineRule="auto"/>
              <w:rPr>
                <w:rFonts w:ascii="Times New Roman" w:hAnsi="Times New Roman"/>
                <w:color w:val="000000"/>
                <w:sz w:val="18"/>
                <w:szCs w:val="18"/>
              </w:rPr>
            </w:pPr>
          </w:p>
        </w:tc>
        <w:tc>
          <w:tcPr>
            <w:tcW w:w="567" w:type="pct"/>
            <w:gridSpan w:val="2"/>
            <w:shd w:val="clear" w:color="auto" w:fill="FFFFFF" w:themeFill="background1"/>
          </w:tcPr>
          <w:p w14:paraId="3E012574" w14:textId="77777777" w:rsidR="00FC7D95" w:rsidRPr="00986144" w:rsidRDefault="00FC7D95" w:rsidP="00FC7D95">
            <w:pPr>
              <w:tabs>
                <w:tab w:val="right" w:pos="1936"/>
              </w:tabs>
              <w:rPr>
                <w:rFonts w:ascii="Times New Roman" w:hAnsi="Times New Roman"/>
                <w:sz w:val="18"/>
                <w:szCs w:val="18"/>
              </w:rPr>
            </w:pPr>
            <w:r w:rsidRPr="00986144">
              <w:rPr>
                <w:rFonts w:ascii="Times New Roman" w:hAnsi="Times New Roman"/>
                <w:color w:val="000000"/>
                <w:sz w:val="18"/>
                <w:szCs w:val="18"/>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986144">
              <w:rPr>
                <w:rFonts w:ascii="Times New Roman" w:hAnsi="Times New Roman"/>
                <w:color w:val="000000"/>
                <w:sz w:val="18"/>
                <w:szCs w:val="18"/>
              </w:rPr>
              <w:instrText xml:space="preserve"> FORMTEXT </w:instrText>
            </w:r>
            <w:r w:rsidRPr="00986144">
              <w:rPr>
                <w:rFonts w:ascii="Times New Roman" w:hAnsi="Times New Roman"/>
                <w:color w:val="000000"/>
                <w:sz w:val="18"/>
                <w:szCs w:val="18"/>
              </w:rPr>
            </w:r>
            <w:r w:rsidRPr="00986144">
              <w:rPr>
                <w:rFonts w:ascii="Times New Roman" w:hAnsi="Times New Roman"/>
                <w:color w:val="000000"/>
                <w:sz w:val="18"/>
                <w:szCs w:val="18"/>
              </w:rPr>
              <w:fldChar w:fldCharType="separate"/>
            </w:r>
            <w:r w:rsidRPr="00986144">
              <w:rPr>
                <w:rFonts w:ascii="Times New Roman" w:hAnsi="Times New Roman"/>
                <w:noProof/>
                <w:color w:val="000000"/>
                <w:sz w:val="18"/>
                <w:szCs w:val="18"/>
              </w:rPr>
              <w:t>(dodaj/usuń)</w:t>
            </w:r>
            <w:r w:rsidRPr="00986144">
              <w:rPr>
                <w:rFonts w:ascii="Times New Roman" w:hAnsi="Times New Roman"/>
                <w:color w:val="000000"/>
                <w:sz w:val="18"/>
                <w:szCs w:val="18"/>
              </w:rPr>
              <w:fldChar w:fldCharType="end"/>
            </w:r>
          </w:p>
        </w:tc>
        <w:tc>
          <w:tcPr>
            <w:tcW w:w="3589" w:type="pct"/>
            <w:gridSpan w:val="16"/>
            <w:shd w:val="clear" w:color="auto" w:fill="FFFFFF" w:themeFill="background1"/>
          </w:tcPr>
          <w:p w14:paraId="53BD644D" w14:textId="42793114" w:rsidR="00FC7D95" w:rsidRPr="00986144" w:rsidRDefault="00FC7D95" w:rsidP="00FC7D95">
            <w:pPr>
              <w:tabs>
                <w:tab w:val="left" w:pos="3000"/>
              </w:tabs>
              <w:rPr>
                <w:rFonts w:ascii="Times New Roman" w:hAnsi="Times New Roman"/>
                <w:color w:val="000000"/>
                <w:spacing w:val="-2"/>
                <w:sz w:val="18"/>
                <w:szCs w:val="18"/>
              </w:rPr>
            </w:pPr>
            <w:r w:rsidRPr="00986144">
              <w:rPr>
                <w:rFonts w:ascii="Times New Roman" w:eastAsia="Times New Roman" w:hAnsi="Times New Roman"/>
                <w:sz w:val="18"/>
                <w:szCs w:val="18"/>
              </w:rPr>
              <w:t>Nie dotyczy</w:t>
            </w:r>
          </w:p>
        </w:tc>
      </w:tr>
      <w:tr w:rsidR="00FC7D95" w:rsidRPr="008B4FE6" w14:paraId="038CD55E" w14:textId="77777777" w:rsidTr="00FC7D95">
        <w:trPr>
          <w:trHeight w:val="142"/>
        </w:trPr>
        <w:tc>
          <w:tcPr>
            <w:tcW w:w="844" w:type="pct"/>
            <w:gridSpan w:val="2"/>
            <w:vMerge w:val="restart"/>
            <w:shd w:val="clear" w:color="auto" w:fill="FFFFFF" w:themeFill="background1"/>
          </w:tcPr>
          <w:p w14:paraId="546DA908" w14:textId="77777777" w:rsidR="00FC7D95" w:rsidRPr="00986144" w:rsidRDefault="00FC7D95" w:rsidP="00FC7D95">
            <w:pPr>
              <w:spacing w:line="240" w:lineRule="auto"/>
              <w:rPr>
                <w:rFonts w:ascii="Times New Roman" w:hAnsi="Times New Roman"/>
                <w:color w:val="000000"/>
                <w:sz w:val="18"/>
                <w:szCs w:val="18"/>
              </w:rPr>
            </w:pPr>
            <w:r w:rsidRPr="00986144">
              <w:rPr>
                <w:rFonts w:ascii="Times New Roman" w:hAnsi="Times New Roman"/>
                <w:color w:val="000000"/>
                <w:sz w:val="18"/>
                <w:szCs w:val="18"/>
              </w:rPr>
              <w:t>Niemierzalne</w:t>
            </w:r>
          </w:p>
        </w:tc>
        <w:tc>
          <w:tcPr>
            <w:tcW w:w="567" w:type="pct"/>
            <w:gridSpan w:val="2"/>
            <w:shd w:val="clear" w:color="auto" w:fill="FFFFFF" w:themeFill="background1"/>
          </w:tcPr>
          <w:p w14:paraId="18FDFD88" w14:textId="77777777" w:rsidR="00FC7D95" w:rsidRPr="00986144" w:rsidRDefault="00FC7D95" w:rsidP="00FC7D95">
            <w:pPr>
              <w:spacing w:line="240" w:lineRule="auto"/>
              <w:rPr>
                <w:rFonts w:ascii="Times New Roman" w:hAnsi="Times New Roman"/>
                <w:color w:val="000000"/>
                <w:sz w:val="18"/>
                <w:szCs w:val="18"/>
              </w:rPr>
            </w:pPr>
            <w:r w:rsidRPr="00986144">
              <w:rPr>
                <w:rFonts w:ascii="Times New Roman" w:hAnsi="Times New Roman"/>
                <w:color w:val="000000"/>
                <w:sz w:val="18"/>
                <w:szCs w:val="18"/>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986144">
              <w:rPr>
                <w:rFonts w:ascii="Times New Roman" w:hAnsi="Times New Roman"/>
                <w:color w:val="000000"/>
                <w:sz w:val="18"/>
                <w:szCs w:val="18"/>
              </w:rPr>
              <w:instrText xml:space="preserve"> FORMTEXT </w:instrText>
            </w:r>
            <w:r w:rsidRPr="00986144">
              <w:rPr>
                <w:rFonts w:ascii="Times New Roman" w:hAnsi="Times New Roman"/>
                <w:color w:val="000000"/>
                <w:sz w:val="18"/>
                <w:szCs w:val="18"/>
              </w:rPr>
            </w:r>
            <w:r w:rsidRPr="00986144">
              <w:rPr>
                <w:rFonts w:ascii="Times New Roman" w:hAnsi="Times New Roman"/>
                <w:color w:val="000000"/>
                <w:sz w:val="18"/>
                <w:szCs w:val="18"/>
              </w:rPr>
              <w:fldChar w:fldCharType="separate"/>
            </w:r>
            <w:r w:rsidRPr="00986144">
              <w:rPr>
                <w:rFonts w:ascii="Times New Roman" w:hAnsi="Times New Roman"/>
                <w:noProof/>
                <w:color w:val="000000"/>
                <w:sz w:val="18"/>
                <w:szCs w:val="18"/>
              </w:rPr>
              <w:t>(dodaj/usuń)</w:t>
            </w:r>
            <w:r w:rsidRPr="00986144">
              <w:rPr>
                <w:rFonts w:ascii="Times New Roman" w:hAnsi="Times New Roman"/>
                <w:color w:val="000000"/>
                <w:sz w:val="18"/>
                <w:szCs w:val="18"/>
              </w:rPr>
              <w:fldChar w:fldCharType="end"/>
            </w:r>
          </w:p>
        </w:tc>
        <w:tc>
          <w:tcPr>
            <w:tcW w:w="3589" w:type="pct"/>
            <w:gridSpan w:val="16"/>
            <w:shd w:val="clear" w:color="auto" w:fill="FFFFFF" w:themeFill="background1"/>
          </w:tcPr>
          <w:p w14:paraId="1A3FAC43" w14:textId="3E5C9E03" w:rsidR="00FC7D95" w:rsidRPr="00986144" w:rsidRDefault="00FC7D95" w:rsidP="00FC7D95">
            <w:pPr>
              <w:spacing w:line="240" w:lineRule="auto"/>
              <w:rPr>
                <w:rFonts w:ascii="Times New Roman" w:hAnsi="Times New Roman"/>
                <w:color w:val="000000"/>
                <w:spacing w:val="-2"/>
                <w:sz w:val="18"/>
                <w:szCs w:val="18"/>
              </w:rPr>
            </w:pPr>
            <w:r w:rsidRPr="00986144">
              <w:rPr>
                <w:rFonts w:ascii="Times New Roman" w:eastAsia="Times New Roman" w:hAnsi="Times New Roman"/>
                <w:sz w:val="18"/>
                <w:szCs w:val="18"/>
              </w:rPr>
              <w:t>Nie dotyczy</w:t>
            </w:r>
          </w:p>
        </w:tc>
      </w:tr>
      <w:tr w:rsidR="00FC7D95" w:rsidRPr="008B4FE6" w14:paraId="664CDBC7" w14:textId="77777777" w:rsidTr="00FC7D95">
        <w:trPr>
          <w:trHeight w:val="400"/>
        </w:trPr>
        <w:tc>
          <w:tcPr>
            <w:tcW w:w="844" w:type="pct"/>
            <w:gridSpan w:val="2"/>
            <w:vMerge/>
          </w:tcPr>
          <w:p w14:paraId="2BBD94B2" w14:textId="77777777" w:rsidR="00FC7D95" w:rsidRPr="00986144" w:rsidRDefault="00FC7D95" w:rsidP="00FC7D95">
            <w:pPr>
              <w:spacing w:line="240" w:lineRule="auto"/>
              <w:rPr>
                <w:rFonts w:ascii="Times New Roman" w:hAnsi="Times New Roman"/>
                <w:color w:val="000000"/>
                <w:sz w:val="18"/>
                <w:szCs w:val="18"/>
              </w:rPr>
            </w:pPr>
          </w:p>
        </w:tc>
        <w:tc>
          <w:tcPr>
            <w:tcW w:w="567" w:type="pct"/>
            <w:gridSpan w:val="2"/>
            <w:shd w:val="clear" w:color="auto" w:fill="FFFFFF" w:themeFill="background1"/>
          </w:tcPr>
          <w:p w14:paraId="1B505E8C" w14:textId="77777777" w:rsidR="00FC7D95" w:rsidRPr="00986144" w:rsidRDefault="00FC7D95" w:rsidP="00FC7D95">
            <w:pPr>
              <w:spacing w:line="240" w:lineRule="auto"/>
              <w:rPr>
                <w:rFonts w:ascii="Times New Roman" w:hAnsi="Times New Roman"/>
                <w:color w:val="000000"/>
                <w:sz w:val="18"/>
                <w:szCs w:val="18"/>
              </w:rPr>
            </w:pPr>
            <w:r w:rsidRPr="00986144">
              <w:rPr>
                <w:rFonts w:ascii="Times New Roman" w:hAnsi="Times New Roman"/>
                <w:color w:val="000000"/>
                <w:sz w:val="18"/>
                <w:szCs w:val="18"/>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986144">
              <w:rPr>
                <w:rFonts w:ascii="Times New Roman" w:hAnsi="Times New Roman"/>
                <w:color w:val="000000"/>
                <w:sz w:val="18"/>
                <w:szCs w:val="18"/>
              </w:rPr>
              <w:instrText xml:space="preserve"> FORMTEXT </w:instrText>
            </w:r>
            <w:r w:rsidRPr="00986144">
              <w:rPr>
                <w:rFonts w:ascii="Times New Roman" w:hAnsi="Times New Roman"/>
                <w:color w:val="000000"/>
                <w:sz w:val="18"/>
                <w:szCs w:val="18"/>
              </w:rPr>
            </w:r>
            <w:r w:rsidRPr="00986144">
              <w:rPr>
                <w:rFonts w:ascii="Times New Roman" w:hAnsi="Times New Roman"/>
                <w:color w:val="000000"/>
                <w:sz w:val="18"/>
                <w:szCs w:val="18"/>
              </w:rPr>
              <w:fldChar w:fldCharType="separate"/>
            </w:r>
            <w:r w:rsidRPr="00986144">
              <w:rPr>
                <w:rFonts w:ascii="Times New Roman" w:hAnsi="Times New Roman"/>
                <w:noProof/>
                <w:color w:val="000000"/>
                <w:sz w:val="18"/>
                <w:szCs w:val="18"/>
              </w:rPr>
              <w:t>(dodaj/usuń)</w:t>
            </w:r>
            <w:r w:rsidRPr="00986144">
              <w:rPr>
                <w:rFonts w:ascii="Times New Roman" w:hAnsi="Times New Roman"/>
                <w:color w:val="000000"/>
                <w:sz w:val="18"/>
                <w:szCs w:val="18"/>
              </w:rPr>
              <w:fldChar w:fldCharType="end"/>
            </w:r>
          </w:p>
        </w:tc>
        <w:tc>
          <w:tcPr>
            <w:tcW w:w="3589" w:type="pct"/>
            <w:gridSpan w:val="16"/>
            <w:shd w:val="clear" w:color="auto" w:fill="FFFFFF" w:themeFill="background1"/>
          </w:tcPr>
          <w:p w14:paraId="5854DE7F" w14:textId="0226B974" w:rsidR="00FC7D95" w:rsidRPr="00986144" w:rsidRDefault="00FC7D95" w:rsidP="00FC7D95">
            <w:pPr>
              <w:spacing w:line="240" w:lineRule="auto"/>
              <w:rPr>
                <w:rFonts w:ascii="Times New Roman" w:hAnsi="Times New Roman"/>
                <w:color w:val="000000"/>
                <w:spacing w:val="-2"/>
                <w:sz w:val="18"/>
                <w:szCs w:val="18"/>
              </w:rPr>
            </w:pPr>
            <w:r w:rsidRPr="00986144">
              <w:rPr>
                <w:rFonts w:ascii="Times New Roman" w:eastAsia="Times New Roman" w:hAnsi="Times New Roman"/>
                <w:sz w:val="18"/>
                <w:szCs w:val="18"/>
              </w:rPr>
              <w:t>Nie dotyczy</w:t>
            </w:r>
          </w:p>
        </w:tc>
      </w:tr>
      <w:tr w:rsidR="00FC7D95" w:rsidRPr="008B4FE6" w14:paraId="6D390C57" w14:textId="77777777" w:rsidTr="00FC7D95">
        <w:trPr>
          <w:trHeight w:val="747"/>
        </w:trPr>
        <w:tc>
          <w:tcPr>
            <w:tcW w:w="1411" w:type="pct"/>
            <w:gridSpan w:val="4"/>
            <w:shd w:val="clear" w:color="auto" w:fill="FFFFFF" w:themeFill="background1"/>
          </w:tcPr>
          <w:p w14:paraId="68EAB365" w14:textId="77777777" w:rsidR="00FC7D95" w:rsidRPr="00986144" w:rsidRDefault="00FC7D95" w:rsidP="00FC7D95">
            <w:pPr>
              <w:spacing w:line="240" w:lineRule="auto"/>
              <w:rPr>
                <w:rFonts w:ascii="Times New Roman" w:hAnsi="Times New Roman"/>
                <w:color w:val="000000"/>
                <w:sz w:val="18"/>
                <w:szCs w:val="18"/>
              </w:rPr>
            </w:pPr>
            <w:r w:rsidRPr="00986144">
              <w:rPr>
                <w:rFonts w:ascii="Times New Roman" w:hAnsi="Times New Roman"/>
                <w:color w:val="000000"/>
                <w:sz w:val="18"/>
                <w:szCs w:val="18"/>
              </w:rPr>
              <w:t xml:space="preserve">Dodatkowe informacje, w tym wskazanie źródeł danych i przyjętych do obliczeń założeń </w:t>
            </w:r>
          </w:p>
        </w:tc>
        <w:tc>
          <w:tcPr>
            <w:tcW w:w="3589" w:type="pct"/>
            <w:gridSpan w:val="16"/>
            <w:shd w:val="clear" w:color="auto" w:fill="FFFFFF" w:themeFill="background1"/>
            <w:vAlign w:val="center"/>
          </w:tcPr>
          <w:p w14:paraId="03F828E4" w14:textId="321AE041" w:rsidR="00FC7D95" w:rsidRPr="00986144" w:rsidRDefault="00FC7D95" w:rsidP="00FC7D95">
            <w:pPr>
              <w:spacing w:line="240" w:lineRule="auto"/>
              <w:jc w:val="both"/>
              <w:rPr>
                <w:rFonts w:ascii="Times New Roman" w:hAnsi="Times New Roman"/>
                <w:color w:val="000000"/>
                <w:sz w:val="18"/>
                <w:szCs w:val="18"/>
              </w:rPr>
            </w:pPr>
            <w:r w:rsidRPr="00986144">
              <w:rPr>
                <w:rFonts w:ascii="Times New Roman" w:eastAsia="Times New Roman" w:hAnsi="Times New Roman"/>
                <w:sz w:val="18"/>
                <w:szCs w:val="18"/>
              </w:rPr>
              <w:t>Nie dotyczy</w:t>
            </w:r>
          </w:p>
        </w:tc>
      </w:tr>
      <w:tr w:rsidR="00FC7D95" w:rsidRPr="008B4FE6" w14:paraId="65917713" w14:textId="77777777" w:rsidTr="003A573A">
        <w:trPr>
          <w:trHeight w:val="342"/>
        </w:trPr>
        <w:tc>
          <w:tcPr>
            <w:tcW w:w="5000" w:type="pct"/>
            <w:gridSpan w:val="20"/>
            <w:shd w:val="clear" w:color="auto" w:fill="99CCFF"/>
            <w:vAlign w:val="center"/>
          </w:tcPr>
          <w:p w14:paraId="207021E4" w14:textId="77777777" w:rsidR="00FC7D95" w:rsidRPr="008B4FE6" w:rsidRDefault="00FC7D95" w:rsidP="00FC7D95">
            <w:pPr>
              <w:numPr>
                <w:ilvl w:val="0"/>
                <w:numId w:val="4"/>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t xml:space="preserve"> </w:t>
            </w:r>
            <w:r>
              <w:rPr>
                <w:rFonts w:ascii="Times New Roman" w:hAnsi="Times New Roman"/>
                <w:b/>
                <w:color w:val="000000"/>
              </w:rPr>
              <w:t>Zmiana o</w:t>
            </w:r>
            <w:r w:rsidRPr="008B4FE6">
              <w:rPr>
                <w:rFonts w:ascii="Times New Roman" w:hAnsi="Times New Roman"/>
                <w:b/>
                <w:color w:val="000000"/>
              </w:rPr>
              <w:t>bciąże</w:t>
            </w:r>
            <w:r>
              <w:rPr>
                <w:rFonts w:ascii="Times New Roman" w:hAnsi="Times New Roman"/>
                <w:b/>
                <w:color w:val="000000"/>
              </w:rPr>
              <w:t>ń</w:t>
            </w:r>
            <w:r w:rsidRPr="008B4FE6">
              <w:rPr>
                <w:rFonts w:ascii="Times New Roman" w:hAnsi="Times New Roman"/>
                <w:b/>
                <w:color w:val="000000"/>
              </w:rPr>
              <w:t xml:space="preserve"> regulacyjn</w:t>
            </w:r>
            <w:r>
              <w:rPr>
                <w:rFonts w:ascii="Times New Roman" w:hAnsi="Times New Roman"/>
                <w:b/>
                <w:color w:val="000000"/>
              </w:rPr>
              <w:t>ych (w tym obowiązków informacyjnych)</w:t>
            </w:r>
            <w:r w:rsidRPr="008B4FE6">
              <w:rPr>
                <w:rFonts w:ascii="Times New Roman" w:hAnsi="Times New Roman"/>
                <w:b/>
                <w:color w:val="000000"/>
              </w:rPr>
              <w:t xml:space="preserve"> wynikając</w:t>
            </w:r>
            <w:r>
              <w:rPr>
                <w:rFonts w:ascii="Times New Roman" w:hAnsi="Times New Roman"/>
                <w:b/>
                <w:color w:val="000000"/>
              </w:rPr>
              <w:t>ych</w:t>
            </w:r>
            <w:r w:rsidRPr="008B4FE6">
              <w:rPr>
                <w:rFonts w:ascii="Times New Roman" w:hAnsi="Times New Roman"/>
                <w:b/>
                <w:color w:val="000000"/>
              </w:rPr>
              <w:t xml:space="preserve"> z projektu</w:t>
            </w:r>
          </w:p>
        </w:tc>
      </w:tr>
      <w:tr w:rsidR="00FC7D95" w:rsidRPr="008B4FE6" w14:paraId="555F2B98" w14:textId="77777777" w:rsidTr="003A573A">
        <w:trPr>
          <w:trHeight w:val="151"/>
        </w:trPr>
        <w:tc>
          <w:tcPr>
            <w:tcW w:w="5000" w:type="pct"/>
            <w:gridSpan w:val="20"/>
            <w:shd w:val="clear" w:color="auto" w:fill="FFFFFF" w:themeFill="background1"/>
          </w:tcPr>
          <w:p w14:paraId="3DE7913D" w14:textId="77777777" w:rsidR="00FC7D95" w:rsidRPr="008B4FE6" w:rsidRDefault="00FC7D95" w:rsidP="00FC7D95">
            <w:pPr>
              <w:spacing w:line="240" w:lineRule="auto"/>
              <w:rPr>
                <w:rFonts w:ascii="Times New Roman" w:hAnsi="Times New Roman"/>
                <w:color w:val="000000"/>
              </w:rPr>
            </w:pPr>
            <w:r w:rsidRPr="001A5FDA">
              <w:rPr>
                <w:rFonts w:ascii="Times New Roman" w:hAnsi="Times New Roman"/>
                <w:color w:val="000000"/>
              </w:rPr>
              <w:fldChar w:fldCharType="begin">
                <w:ffData>
                  <w:name w:val="Wybór1"/>
                  <w:enabled/>
                  <w:calcOnExit w:val="0"/>
                  <w:checkBox>
                    <w:sizeAuto/>
                    <w:default w:val="0"/>
                  </w:checkBox>
                </w:ffData>
              </w:fldChar>
            </w:r>
            <w:r w:rsidRPr="001A5FDA">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1A5FDA">
              <w:rPr>
                <w:rFonts w:ascii="Times New Roman" w:hAnsi="Times New Roman"/>
                <w:color w:val="000000"/>
              </w:rPr>
              <w:fldChar w:fldCharType="end"/>
            </w:r>
            <w:r w:rsidRPr="001A5FDA">
              <w:rPr>
                <w:rFonts w:ascii="Times New Roman" w:hAnsi="Times New Roman"/>
                <w:color w:val="000000"/>
              </w:rPr>
              <w:t xml:space="preserve"> </w:t>
            </w:r>
            <w:r w:rsidRPr="001A5FDA">
              <w:rPr>
                <w:rFonts w:ascii="Times New Roman" w:hAnsi="Times New Roman"/>
                <w:color w:val="000000"/>
                <w:spacing w:val="-2"/>
              </w:rPr>
              <w:t>nie dotyczy</w:t>
            </w:r>
          </w:p>
        </w:tc>
      </w:tr>
      <w:tr w:rsidR="00FC7D95" w:rsidRPr="008B4FE6" w14:paraId="462C18F5" w14:textId="77777777" w:rsidTr="00FC7D95">
        <w:trPr>
          <w:trHeight w:val="946"/>
        </w:trPr>
        <w:tc>
          <w:tcPr>
            <w:tcW w:w="1741" w:type="pct"/>
            <w:gridSpan w:val="5"/>
            <w:shd w:val="clear" w:color="auto" w:fill="FFFFFF" w:themeFill="background1"/>
          </w:tcPr>
          <w:p w14:paraId="43D6C7C2" w14:textId="77777777" w:rsidR="00FC7D95" w:rsidRDefault="00FC7D95" w:rsidP="00FC7D95">
            <w:pPr>
              <w:rPr>
                <w:rFonts w:ascii="Times New Roman" w:hAnsi="Times New Roman"/>
                <w:color w:val="000000"/>
                <w:spacing w:val="-2"/>
              </w:rPr>
            </w:pPr>
            <w:r>
              <w:rPr>
                <w:rFonts w:ascii="Times New Roman" w:hAnsi="Times New Roman"/>
                <w:color w:val="000000"/>
                <w:spacing w:val="-2"/>
              </w:rPr>
              <w:t>W</w:t>
            </w:r>
            <w:r w:rsidRPr="00653688">
              <w:rPr>
                <w:rFonts w:ascii="Times New Roman" w:hAnsi="Times New Roman"/>
                <w:color w:val="000000"/>
                <w:spacing w:val="-2"/>
              </w:rPr>
              <w:t xml:space="preserve">prowadzane są </w:t>
            </w:r>
            <w:r>
              <w:rPr>
                <w:rFonts w:ascii="Times New Roman" w:hAnsi="Times New Roman"/>
                <w:color w:val="000000"/>
                <w:spacing w:val="-2"/>
              </w:rPr>
              <w:t>obciążenia</w:t>
            </w:r>
            <w:r w:rsidRPr="00653688">
              <w:rPr>
                <w:rFonts w:ascii="Times New Roman" w:hAnsi="Times New Roman"/>
                <w:color w:val="000000"/>
                <w:spacing w:val="-2"/>
              </w:rPr>
              <w:t xml:space="preserve"> poza bezwzględnie wymaganymi przez UE</w:t>
            </w:r>
            <w:r>
              <w:rPr>
                <w:rFonts w:ascii="Times New Roman" w:hAnsi="Times New Roman"/>
                <w:color w:val="000000"/>
                <w:spacing w:val="-2"/>
              </w:rPr>
              <w:t xml:space="preserve"> </w:t>
            </w:r>
            <w:r w:rsidRPr="008B4FE6">
              <w:rPr>
                <w:rFonts w:ascii="Times New Roman" w:hAnsi="Times New Roman"/>
                <w:color w:val="000000"/>
              </w:rPr>
              <w:t>(szczegóły w odwróconej tabeli zgodności</w:t>
            </w:r>
            <w:r>
              <w:rPr>
                <w:rFonts w:ascii="Times New Roman" w:hAnsi="Times New Roman"/>
                <w:color w:val="000000"/>
              </w:rPr>
              <w:t>).</w:t>
            </w:r>
          </w:p>
        </w:tc>
        <w:tc>
          <w:tcPr>
            <w:tcW w:w="3259" w:type="pct"/>
            <w:gridSpan w:val="15"/>
            <w:shd w:val="clear" w:color="auto" w:fill="FFFFFF" w:themeFill="background1"/>
          </w:tcPr>
          <w:p w14:paraId="322909B0" w14:textId="77777777" w:rsidR="00FC7D95" w:rsidRDefault="00FC7D95" w:rsidP="00FC7D95">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tak</w:t>
            </w:r>
          </w:p>
          <w:p w14:paraId="7A751FCD" w14:textId="77777777" w:rsidR="00FC7D95" w:rsidRDefault="00FC7D95" w:rsidP="00FC7D95">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nie</w:t>
            </w:r>
          </w:p>
          <w:p w14:paraId="2FB33073" w14:textId="77777777" w:rsidR="00FC7D95" w:rsidRDefault="00FC7D95" w:rsidP="00FC7D95">
            <w:pPr>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nie dotyczy</w:t>
            </w:r>
          </w:p>
        </w:tc>
      </w:tr>
      <w:tr w:rsidR="00FC7D95" w:rsidRPr="008B4FE6" w14:paraId="53DF3394" w14:textId="77777777" w:rsidTr="00FC7D95">
        <w:trPr>
          <w:trHeight w:val="1245"/>
        </w:trPr>
        <w:tc>
          <w:tcPr>
            <w:tcW w:w="1741" w:type="pct"/>
            <w:gridSpan w:val="5"/>
            <w:shd w:val="clear" w:color="auto" w:fill="FFFFFF" w:themeFill="background1"/>
          </w:tcPr>
          <w:p w14:paraId="5E876ABE" w14:textId="77777777" w:rsidR="00FC7D95" w:rsidRPr="008B4FE6" w:rsidRDefault="00FC7D95" w:rsidP="00FC7D95">
            <w:pPr>
              <w:spacing w:line="240" w:lineRule="auto"/>
              <w:rPr>
                <w:rFonts w:ascii="Times New Roman" w:hAnsi="Times New Roman"/>
                <w:color w:val="000000"/>
                <w:spacing w:val="-2"/>
              </w:rPr>
            </w:pPr>
            <w:r w:rsidRPr="008B4FE6">
              <w:rPr>
                <w:rFonts w:ascii="Times New Roman" w:hAnsi="Times New Roman"/>
                <w:color w:val="000000"/>
              </w:rPr>
              <w:lastRenderedPageBreak/>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zmniejszenie liczby dokumentów</w:t>
            </w:r>
            <w:r>
              <w:rPr>
                <w:rFonts w:ascii="Times New Roman" w:hAnsi="Times New Roman"/>
                <w:color w:val="000000"/>
                <w:spacing w:val="-2"/>
              </w:rPr>
              <w:t xml:space="preserve"> </w:t>
            </w:r>
          </w:p>
          <w:p w14:paraId="1CDEB55D" w14:textId="77777777" w:rsidR="00FC7D95" w:rsidRPr="008B4FE6" w:rsidRDefault="00FC7D95" w:rsidP="00FC7D95">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zmniejszenie liczby procedur</w:t>
            </w:r>
          </w:p>
          <w:p w14:paraId="5ADC9524" w14:textId="77777777" w:rsidR="00FC7D95" w:rsidRDefault="00FC7D95" w:rsidP="00FC7D95">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
                  <w:enabled/>
                  <w:calcOnExit w:val="0"/>
                  <w:checkBox>
                    <w:sizeAuto/>
                    <w:default w:val="0"/>
                  </w:checkBox>
                </w:ffData>
              </w:fldChar>
            </w:r>
            <w:r w:rsidRPr="008B4FE6">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skrócenie czasu</w:t>
            </w:r>
            <w:r>
              <w:rPr>
                <w:rFonts w:ascii="Times New Roman" w:hAnsi="Times New Roman"/>
                <w:color w:val="000000"/>
                <w:spacing w:val="-2"/>
              </w:rPr>
              <w:t xml:space="preserve"> na załatwienie sprawy</w:t>
            </w:r>
          </w:p>
          <w:p w14:paraId="4EF94B90" w14:textId="77777777" w:rsidR="00FC7D95" w:rsidRPr="008B4FE6" w:rsidRDefault="00FC7D95" w:rsidP="00FC7D95">
            <w:pPr>
              <w:rPr>
                <w:rFonts w:ascii="Times New Roman" w:hAnsi="Times New Roman"/>
                <w:b/>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inne:</w:t>
            </w:r>
            <w:r w:rsidRPr="008B4FE6">
              <w:rPr>
                <w:rFonts w:ascii="Times New Roman" w:hAnsi="Times New Roman"/>
                <w:color w:val="000000"/>
              </w:rPr>
              <w:t xml:space="preserve"> </w:t>
            </w:r>
            <w:r w:rsidRPr="008B4FE6">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8B4FE6">
              <w:rPr>
                <w:rFonts w:ascii="Times New Roman" w:hAnsi="Times New Roman"/>
                <w:color w:val="000000"/>
              </w:rPr>
              <w:instrText xml:space="preserve"> FORMTEXT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hAnsi="Times New Roman"/>
                <w:color w:val="000000"/>
              </w:rPr>
              <w:fldChar w:fldCharType="end"/>
            </w:r>
          </w:p>
        </w:tc>
        <w:tc>
          <w:tcPr>
            <w:tcW w:w="3259" w:type="pct"/>
            <w:gridSpan w:val="15"/>
            <w:shd w:val="clear" w:color="auto" w:fill="FFFFFF" w:themeFill="background1"/>
          </w:tcPr>
          <w:p w14:paraId="262E4AF1" w14:textId="77777777" w:rsidR="00FC7D95" w:rsidRPr="008B4FE6" w:rsidRDefault="00FC7D95" w:rsidP="00FC7D95">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zwiększenie liczby dokumentów</w:t>
            </w:r>
          </w:p>
          <w:p w14:paraId="128724F9" w14:textId="77777777" w:rsidR="00FC7D95" w:rsidRPr="008B4FE6" w:rsidRDefault="00FC7D95" w:rsidP="00FC7D95">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zwiększenie liczby procedur</w:t>
            </w:r>
          </w:p>
          <w:p w14:paraId="75FA6922" w14:textId="77777777" w:rsidR="00FC7D95" w:rsidRPr="008B4FE6" w:rsidRDefault="00FC7D95" w:rsidP="00FC7D95">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wydłużenie czasu</w:t>
            </w:r>
            <w:r>
              <w:rPr>
                <w:rFonts w:ascii="Times New Roman" w:hAnsi="Times New Roman"/>
                <w:color w:val="000000"/>
                <w:spacing w:val="-2"/>
              </w:rPr>
              <w:t xml:space="preserve"> na załatwienie sprawy</w:t>
            </w:r>
          </w:p>
          <w:p w14:paraId="0CAA5531" w14:textId="77777777" w:rsidR="00FC7D95" w:rsidRPr="008B4FE6" w:rsidRDefault="00FC7D95" w:rsidP="00FC7D95">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inne:</w:t>
            </w:r>
            <w:r w:rsidRPr="008B4FE6">
              <w:rPr>
                <w:rFonts w:ascii="Times New Roman" w:hAnsi="Times New Roman"/>
                <w:color w:val="000000"/>
              </w:rPr>
              <w:t xml:space="preserve"> </w:t>
            </w:r>
            <w:r w:rsidRPr="008B4FE6">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8B4FE6">
              <w:rPr>
                <w:rFonts w:ascii="Times New Roman" w:hAnsi="Times New Roman"/>
                <w:color w:val="000000"/>
              </w:rPr>
              <w:instrText xml:space="preserve"> FORMTEXT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hAnsi="Times New Roman"/>
                <w:color w:val="000000"/>
              </w:rPr>
              <w:fldChar w:fldCharType="end"/>
            </w:r>
          </w:p>
          <w:p w14:paraId="2AC57CB0" w14:textId="77777777" w:rsidR="00FC7D95" w:rsidRPr="008B4FE6" w:rsidRDefault="00FC7D95" w:rsidP="00FC7D95">
            <w:pPr>
              <w:spacing w:line="240" w:lineRule="auto"/>
              <w:rPr>
                <w:rFonts w:ascii="Times New Roman" w:hAnsi="Times New Roman"/>
                <w:color w:val="000000"/>
              </w:rPr>
            </w:pPr>
          </w:p>
        </w:tc>
      </w:tr>
      <w:tr w:rsidR="00FC7D95" w:rsidRPr="008B4FE6" w14:paraId="7A74BB55" w14:textId="77777777" w:rsidTr="00FC7D95">
        <w:trPr>
          <w:trHeight w:val="870"/>
        </w:trPr>
        <w:tc>
          <w:tcPr>
            <w:tcW w:w="1741" w:type="pct"/>
            <w:gridSpan w:val="5"/>
            <w:shd w:val="clear" w:color="auto" w:fill="FFFFFF" w:themeFill="background1"/>
          </w:tcPr>
          <w:p w14:paraId="1860B17D" w14:textId="77777777" w:rsidR="00FC7D95" w:rsidRPr="008B4FE6" w:rsidRDefault="00FC7D95" w:rsidP="00FC7D95">
            <w:pPr>
              <w:spacing w:line="240" w:lineRule="auto"/>
              <w:rPr>
                <w:rFonts w:ascii="Times New Roman" w:hAnsi="Times New Roman"/>
                <w:color w:val="000000"/>
              </w:rPr>
            </w:pPr>
            <w:r>
              <w:rPr>
                <w:rFonts w:ascii="Times New Roman" w:hAnsi="Times New Roman"/>
                <w:color w:val="000000"/>
                <w:spacing w:val="-2"/>
              </w:rPr>
              <w:t>W</w:t>
            </w:r>
            <w:r w:rsidRPr="00653688">
              <w:rPr>
                <w:rFonts w:ascii="Times New Roman" w:hAnsi="Times New Roman"/>
                <w:color w:val="000000"/>
                <w:spacing w:val="-2"/>
              </w:rPr>
              <w:t>prowadzane</w:t>
            </w:r>
            <w:r>
              <w:rPr>
                <w:rFonts w:ascii="Times New Roman" w:hAnsi="Times New Roman"/>
                <w:color w:val="000000"/>
                <w:spacing w:val="-2"/>
              </w:rPr>
              <w:t xml:space="preserve"> obciążenia</w:t>
            </w:r>
            <w:r w:rsidRPr="00653688">
              <w:rPr>
                <w:rFonts w:ascii="Times New Roman" w:hAnsi="Times New Roman"/>
                <w:color w:val="000000"/>
                <w:spacing w:val="-2"/>
              </w:rPr>
              <w:t xml:space="preserve"> są </w:t>
            </w:r>
            <w:r>
              <w:rPr>
                <w:rFonts w:ascii="Times New Roman" w:hAnsi="Times New Roman"/>
                <w:color w:val="000000"/>
                <w:spacing w:val="-2"/>
              </w:rPr>
              <w:t xml:space="preserve">przystosowane do ich elektronizacji. </w:t>
            </w:r>
          </w:p>
        </w:tc>
        <w:tc>
          <w:tcPr>
            <w:tcW w:w="3259" w:type="pct"/>
            <w:gridSpan w:val="15"/>
            <w:shd w:val="clear" w:color="auto" w:fill="FFFFFF" w:themeFill="background1"/>
          </w:tcPr>
          <w:p w14:paraId="79EC3096" w14:textId="77777777" w:rsidR="00FC7D95" w:rsidRDefault="00FC7D95" w:rsidP="00FC7D95">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tak</w:t>
            </w:r>
          </w:p>
          <w:p w14:paraId="3527B606" w14:textId="77777777" w:rsidR="00FC7D95" w:rsidRDefault="00FC7D95" w:rsidP="00FC7D95">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nie</w:t>
            </w:r>
          </w:p>
          <w:p w14:paraId="081B61F5" w14:textId="77777777" w:rsidR="00FC7D95" w:rsidRDefault="00FC7D95" w:rsidP="00FC7D95">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nie dotyczy</w:t>
            </w:r>
          </w:p>
          <w:p w14:paraId="5186B13D" w14:textId="77777777" w:rsidR="00FC7D95" w:rsidRPr="008B4FE6" w:rsidRDefault="00FC7D95" w:rsidP="00FC7D95">
            <w:pPr>
              <w:spacing w:line="240" w:lineRule="auto"/>
              <w:rPr>
                <w:rFonts w:ascii="Times New Roman" w:hAnsi="Times New Roman"/>
                <w:color w:val="000000"/>
              </w:rPr>
            </w:pPr>
          </w:p>
        </w:tc>
      </w:tr>
      <w:tr w:rsidR="00FC7D95" w:rsidRPr="008B4FE6" w14:paraId="14764973" w14:textId="77777777" w:rsidTr="003A573A">
        <w:trPr>
          <w:trHeight w:val="448"/>
        </w:trPr>
        <w:tc>
          <w:tcPr>
            <w:tcW w:w="5000" w:type="pct"/>
            <w:gridSpan w:val="20"/>
            <w:shd w:val="clear" w:color="auto" w:fill="FFFFFF" w:themeFill="background1"/>
          </w:tcPr>
          <w:p w14:paraId="4DFE9714" w14:textId="77777777" w:rsidR="00FC7D95" w:rsidRDefault="00FC7D95" w:rsidP="00FC7D95">
            <w:pPr>
              <w:spacing w:line="240" w:lineRule="auto"/>
              <w:jc w:val="both"/>
              <w:rPr>
                <w:rFonts w:ascii="Times New Roman" w:hAnsi="Times New Roman"/>
                <w:color w:val="000000"/>
              </w:rPr>
            </w:pPr>
            <w:r>
              <w:rPr>
                <w:rFonts w:ascii="Times New Roman" w:hAnsi="Times New Roman"/>
                <w:color w:val="000000"/>
              </w:rPr>
              <w:t>Komentarz:</w:t>
            </w:r>
          </w:p>
          <w:p w14:paraId="61319B8A" w14:textId="77777777" w:rsidR="00FC7D95" w:rsidRDefault="00FC7D95" w:rsidP="00FC7D95">
            <w:pPr>
              <w:spacing w:line="240" w:lineRule="auto"/>
              <w:jc w:val="both"/>
              <w:rPr>
                <w:rFonts w:ascii="Times New Roman" w:hAnsi="Times New Roman"/>
                <w:color w:val="000000"/>
              </w:rPr>
            </w:pPr>
          </w:p>
          <w:p w14:paraId="31A560F4" w14:textId="77777777" w:rsidR="00FC7D95" w:rsidRPr="008B4FE6" w:rsidRDefault="00FC7D95" w:rsidP="00FC7D95">
            <w:pPr>
              <w:jc w:val="both"/>
              <w:rPr>
                <w:rFonts w:ascii="Times New Roman" w:hAnsi="Times New Roman"/>
                <w:color w:val="000000"/>
              </w:rPr>
            </w:pPr>
          </w:p>
        </w:tc>
      </w:tr>
      <w:tr w:rsidR="00FC7D95" w:rsidRPr="008B4FE6" w14:paraId="4018C746" w14:textId="77777777" w:rsidTr="003A573A">
        <w:trPr>
          <w:trHeight w:val="142"/>
        </w:trPr>
        <w:tc>
          <w:tcPr>
            <w:tcW w:w="5000" w:type="pct"/>
            <w:gridSpan w:val="20"/>
            <w:shd w:val="clear" w:color="auto" w:fill="99CCFF"/>
          </w:tcPr>
          <w:p w14:paraId="03F01BA3" w14:textId="77777777" w:rsidR="00FC7D95" w:rsidRPr="008B4FE6" w:rsidRDefault="00FC7D95" w:rsidP="00FC7D95">
            <w:pPr>
              <w:numPr>
                <w:ilvl w:val="0"/>
                <w:numId w:val="4"/>
              </w:numPr>
              <w:spacing w:before="60" w:after="60" w:line="240" w:lineRule="auto"/>
              <w:jc w:val="both"/>
              <w:rPr>
                <w:rFonts w:ascii="Times New Roman" w:hAnsi="Times New Roman"/>
                <w:b/>
                <w:color w:val="000000"/>
              </w:rPr>
            </w:pPr>
            <w:r w:rsidRPr="008B4FE6">
              <w:rPr>
                <w:rFonts w:ascii="Times New Roman" w:hAnsi="Times New Roman"/>
                <w:b/>
                <w:color w:val="000000"/>
              </w:rPr>
              <w:t xml:space="preserve">Wpływ na rynek pracy </w:t>
            </w:r>
          </w:p>
        </w:tc>
      </w:tr>
      <w:tr w:rsidR="00FC7D95" w:rsidRPr="008B4FE6" w14:paraId="70DF735C" w14:textId="77777777" w:rsidTr="003A573A">
        <w:trPr>
          <w:trHeight w:val="142"/>
        </w:trPr>
        <w:tc>
          <w:tcPr>
            <w:tcW w:w="5000" w:type="pct"/>
            <w:gridSpan w:val="20"/>
            <w:shd w:val="clear" w:color="auto" w:fill="auto"/>
          </w:tcPr>
          <w:p w14:paraId="5E226D54" w14:textId="77777777" w:rsidR="00FC7D95" w:rsidRDefault="00FC7D95" w:rsidP="00FC7D95">
            <w:pPr>
              <w:spacing w:line="240" w:lineRule="auto"/>
              <w:rPr>
                <w:rFonts w:ascii="Times New Roman" w:hAnsi="Times New Roman"/>
                <w:color w:val="000000" w:themeColor="text1"/>
              </w:rPr>
            </w:pPr>
            <w:r w:rsidRPr="0C94E1DF">
              <w:rPr>
                <w:rFonts w:cs="Calibri"/>
                <w:sz w:val="24"/>
                <w:szCs w:val="24"/>
              </w:rPr>
              <w:t xml:space="preserve"> </w:t>
            </w:r>
          </w:p>
          <w:p w14:paraId="69C916D7" w14:textId="77777777" w:rsidR="00FC7D95" w:rsidRDefault="00FC7D95" w:rsidP="00FC7D95">
            <w:pPr>
              <w:spacing w:line="240" w:lineRule="auto"/>
              <w:rPr>
                <w:rFonts w:asciiTheme="minorHAnsi" w:eastAsiaTheme="minorEastAsia" w:hAnsiTheme="minorHAnsi" w:cstheme="minorBidi"/>
                <w:sz w:val="24"/>
                <w:szCs w:val="24"/>
              </w:rPr>
            </w:pPr>
            <w:r w:rsidRPr="580B43B0">
              <w:rPr>
                <w:rFonts w:cs="Calibri"/>
                <w:sz w:val="24"/>
                <w:szCs w:val="24"/>
              </w:rPr>
              <w:t>Pr</w:t>
            </w:r>
            <w:r w:rsidRPr="580B43B0">
              <w:rPr>
                <w:rFonts w:asciiTheme="minorHAnsi" w:eastAsiaTheme="minorEastAsia" w:hAnsiTheme="minorHAnsi" w:cstheme="minorBidi"/>
                <w:sz w:val="24"/>
                <w:szCs w:val="24"/>
              </w:rPr>
              <w:t xml:space="preserve">oponowane rozwiązania wpłyną na zwiększoną aktywność zawodową osób z niepełnosprawnościami, szczególnie osób z niepełnosprawnością intelektualną i psychospołeczną, w odniesieniu do których najczęściej stosowane jest ubezwłasnowolnienie. Rozwój usługi asysty prawnej i pełnomocnictwa wspierającego wpłynie także na większą aktywność zawodową m. in. prawników, pracowników socjalnych, terapeutów zajęciowych. W obecnym stanie prawnym osoby całkowicie ubezwłasnowolnione, ze względu na brak zdolności do czynności prawnych nie mogą podjąć zatrudnienia. Wprawdzie znane są w doktrynie poglądy o zdolności pracowniczej osób ubezwłasnowolnionych (D. </w:t>
            </w:r>
            <w:proofErr w:type="spellStart"/>
            <w:r w:rsidRPr="580B43B0">
              <w:rPr>
                <w:rFonts w:asciiTheme="minorHAnsi" w:eastAsiaTheme="minorEastAsia" w:hAnsiTheme="minorHAnsi" w:cstheme="minorBidi"/>
                <w:sz w:val="24"/>
                <w:szCs w:val="24"/>
              </w:rPr>
              <w:t>Dzienisiuk</w:t>
            </w:r>
            <w:proofErr w:type="spellEnd"/>
            <w:r w:rsidRPr="580B43B0">
              <w:rPr>
                <w:rFonts w:asciiTheme="minorHAnsi" w:eastAsiaTheme="minorEastAsia" w:hAnsiTheme="minorHAnsi" w:cstheme="minorBidi"/>
                <w:sz w:val="24"/>
                <w:szCs w:val="24"/>
              </w:rPr>
              <w:t xml:space="preserve">, Możliwość zawarcia umowy o pracę przez osobę ubezwłasnowolnioną całkowici lub przez jej opiekuna prawnego. Zeszyty Prawnicze BAS, 4, 2020, M. </w:t>
            </w:r>
            <w:proofErr w:type="spellStart"/>
            <w:r w:rsidRPr="580B43B0">
              <w:rPr>
                <w:rFonts w:asciiTheme="minorHAnsi" w:eastAsiaTheme="minorEastAsia" w:hAnsiTheme="minorHAnsi" w:cstheme="minorBidi"/>
                <w:sz w:val="24"/>
                <w:szCs w:val="24"/>
              </w:rPr>
              <w:t>Szeroczyńska</w:t>
            </w:r>
            <w:proofErr w:type="spellEnd"/>
            <w:r w:rsidRPr="580B43B0">
              <w:rPr>
                <w:rFonts w:asciiTheme="minorHAnsi" w:eastAsiaTheme="minorEastAsia" w:hAnsiTheme="minorHAnsi" w:cstheme="minorBidi"/>
                <w:sz w:val="24"/>
                <w:szCs w:val="24"/>
              </w:rPr>
              <w:t>, Osoba ubezwłasnowolniona jako pracownik, cz. 1, Szkoła Specjalna, SS 2022; LXXXIII/3), jednak wywołują one szereg wątpliwości, w tym praktyczne trudności związane z zarządzeniem swoim pracowniczym wynagrodzeniem. Konwencja o prawach osób z niepełnosprawnościami podkreśla w art. 27 obowiązki państwa w zakresie realizacji zatrudnienia osób z niepełnosprawnościami bez dyskryminacji. Ostatnie lata przyniosły wiele zmian z postrzeganiu niepełnosprawności intelektualnej i psychospołecznej, organizowaniu spersonalizowanego wsparcia dla tych osób oraz w działaniach podnoszących jakość ich życia. Praca jest ważnym aspektem życia i jedną z najważniejszych wartości dla każdego człowieka, niezależnie od jego płci, wieku, miejsca zamieszkania i sprawności fizycznej oraz intelektualnej. Człowiek dorosły dąży do samorozwoju, zwłaszcza związanego z funkcjonowaniem w środowisku rodzinnym i zawodowym. Praca ma szczególne znaczenie dla prowadzenia niezależnego życia osób z niepełnosprawnościami, pozwala uzyskać dochód, zwiększa poczucie własnej wartości, poszerza kontakty towarzyskie i wzmocnienia poczucie niezależności Liczne przykłady pracujących osób z niepełnosprawnością intelektualną dowodzą, że osoby te dzięki pracy zmieniają się, wchodzą w dorosłe role społeczne, stają się coraz bardziej samodzielne, a jakość ich życia znacząco wzrasta (M. Zakrzewska, Aktywność zawodowa a jakość życia dorosłych osób z niepełnosprawnością intelektualną, PSONI, Warszawa 2021). Traktowanie osób z niepełnosprawnościami jako równych i równoprawnych obywateli w sferze pracy sprzyja lepszemu funkcjonowaniu w społeczeństwie i służy procesowi integracji społecznej (A. Ostrowska, Niepełnosprawni w społeczeństwie 1993-2013). Niestety dane statystyczne od wielu lat wskazują, że osoby z niepełnosprawnościami to grupa najmniej aktywna zawodowo.</w:t>
            </w:r>
          </w:p>
          <w:p w14:paraId="627E2273" w14:textId="77777777" w:rsidR="00FC7D95" w:rsidRDefault="00FC7D95" w:rsidP="00FC7D95">
            <w:pPr>
              <w:rPr>
                <w:rFonts w:asciiTheme="minorHAnsi" w:eastAsiaTheme="minorEastAsia" w:hAnsiTheme="minorHAnsi" w:cstheme="minorBidi"/>
                <w:sz w:val="24"/>
                <w:szCs w:val="24"/>
              </w:rPr>
            </w:pPr>
          </w:p>
          <w:p w14:paraId="1BFC88A5" w14:textId="77777777" w:rsidR="00FC7D95" w:rsidRDefault="00FC7D95" w:rsidP="00FC7D95">
            <w:pPr>
              <w:rPr>
                <w:rFonts w:asciiTheme="minorHAnsi" w:eastAsiaTheme="minorEastAsia" w:hAnsiTheme="minorHAnsi" w:cstheme="minorBidi"/>
                <w:sz w:val="24"/>
                <w:szCs w:val="24"/>
              </w:rPr>
            </w:pPr>
            <w:r w:rsidRPr="29C6FEBD">
              <w:rPr>
                <w:rFonts w:asciiTheme="minorHAnsi" w:eastAsiaTheme="minorEastAsia" w:hAnsiTheme="minorHAnsi" w:cstheme="minorBidi"/>
                <w:sz w:val="24"/>
                <w:szCs w:val="24"/>
              </w:rPr>
              <w:t xml:space="preserve">Najbardziej aktualne dane (2021 r.)  znajdują się na stronie </w:t>
            </w:r>
            <w:hyperlink r:id="rId11">
              <w:r w:rsidRPr="29C6FEBD">
                <w:rPr>
                  <w:rStyle w:val="Hipercze"/>
                  <w:rFonts w:asciiTheme="minorHAnsi" w:eastAsiaTheme="minorEastAsia" w:hAnsiTheme="minorHAnsi" w:cstheme="minorBidi"/>
                  <w:sz w:val="24"/>
                  <w:szCs w:val="24"/>
                </w:rPr>
                <w:t>https://niepelnosprawni.gov.pl/p,81,bael</w:t>
              </w:r>
            </w:hyperlink>
            <w:r w:rsidRPr="29C6FEBD">
              <w:rPr>
                <w:rFonts w:asciiTheme="minorHAnsi" w:eastAsiaTheme="minorEastAsia" w:hAnsiTheme="minorHAnsi" w:cstheme="minorBidi"/>
                <w:sz w:val="24"/>
                <w:szCs w:val="24"/>
              </w:rPr>
              <w:t xml:space="preserve"> </w:t>
            </w:r>
            <w:r>
              <w:br/>
            </w:r>
            <w:r w:rsidRPr="29C6FEBD">
              <w:rPr>
                <w:rFonts w:asciiTheme="minorHAnsi" w:eastAsiaTheme="minorEastAsia" w:hAnsiTheme="minorHAnsi" w:cstheme="minorBidi"/>
                <w:sz w:val="24"/>
                <w:szCs w:val="24"/>
              </w:rPr>
              <w:t>Z badania “Aktywność ekonomiczna osób niepełnosprawnych 16-89 lat według stopnia niepełnosprawności” wynika, że na 2806 tyś. osób z niepełnosprawnością biorących udział w badaniu, grupa aktywnych zawodowo liczy 563 tyś. (w tym bezrobotni 26 tyś.) a biernych zawodowo jest 2243 tyś. Współczynnik aktywności zawodowej jest na poziomie 20,1%, a w wskaźnik zatrudnienia 19,1%. W końcu 2021 r. pracujący</w:t>
            </w:r>
            <w:r>
              <w:br/>
            </w:r>
            <w:r w:rsidRPr="29C6FEBD">
              <w:rPr>
                <w:rFonts w:asciiTheme="minorHAnsi" w:eastAsiaTheme="minorEastAsia" w:hAnsiTheme="minorHAnsi" w:cstheme="minorBidi"/>
                <w:sz w:val="24"/>
                <w:szCs w:val="24"/>
              </w:rPr>
              <w:t>niepełnosprawni stanowili 3,4% ogólnej liczby pracujących w głównym miejscu pracy w średnich i dużych</w:t>
            </w:r>
            <w:r>
              <w:br/>
            </w:r>
            <w:r w:rsidRPr="29C6FEBD">
              <w:rPr>
                <w:rFonts w:asciiTheme="minorHAnsi" w:eastAsiaTheme="minorEastAsia" w:hAnsiTheme="minorHAnsi" w:cstheme="minorBidi"/>
                <w:sz w:val="24"/>
                <w:szCs w:val="24"/>
              </w:rPr>
              <w:t>przedsiębiorstwach. W końcu grudnia 2021 r. 61,0 tys. osób niepełnosprawnych było zarejestrowanych</w:t>
            </w:r>
            <w:r>
              <w:br/>
            </w:r>
            <w:r w:rsidRPr="29C6FEBD">
              <w:rPr>
                <w:rFonts w:asciiTheme="minorHAnsi" w:eastAsiaTheme="minorEastAsia" w:hAnsiTheme="minorHAnsi" w:cstheme="minorBidi"/>
                <w:sz w:val="24"/>
                <w:szCs w:val="24"/>
              </w:rPr>
              <w:t>w powiatowych urzędach pracy, w tym 14,0% osób miało prawo do zasiłku. W porównaniu</w:t>
            </w:r>
            <w:r>
              <w:br/>
            </w:r>
            <w:r w:rsidRPr="29C6FEBD">
              <w:rPr>
                <w:rFonts w:asciiTheme="minorHAnsi" w:eastAsiaTheme="minorEastAsia" w:hAnsiTheme="minorHAnsi" w:cstheme="minorBidi"/>
                <w:sz w:val="24"/>
                <w:szCs w:val="24"/>
              </w:rPr>
              <w:lastRenderedPageBreak/>
              <w:t>z 2020 r. liczba bezrobotnych osób niepełnosprawnych zwiększyła się o 9,5%, a liczba tych</w:t>
            </w:r>
            <w:r>
              <w:br/>
            </w:r>
            <w:r w:rsidRPr="29C6FEBD">
              <w:rPr>
                <w:rFonts w:asciiTheme="minorHAnsi" w:eastAsiaTheme="minorEastAsia" w:hAnsiTheme="minorHAnsi" w:cstheme="minorBidi"/>
                <w:sz w:val="24"/>
                <w:szCs w:val="24"/>
              </w:rPr>
              <w:t xml:space="preserve">osób z prawem do zasiłku zmniejszyła się o 8,4%. Brak jest ogólnych danych dotyczących zatrudnienia osób z niepełnosprawnością intelektualną. Na podstawie doświadczeń PSONI (prowadzenie 6 Centrów Doradztwa Zawodowego i Wspierania Osób Niepełnosprawnych Intelektualnie - profesjonalnych, niepublicznych agencji zatrudnienia oferujących bezpłatne usługi w zakresie pośrednictwa pracy oraz poradnictwa zawodowego dla osób z niepełnosprawnością a także doradztwa personalnego dla pracodawców oraz 13 Zakładów Aktywności Zawodowej – </w:t>
            </w:r>
            <w:r w:rsidRPr="29C6FEBD">
              <w:rPr>
                <w:rFonts w:cs="Calibri"/>
                <w:sz w:val="24"/>
                <w:szCs w:val="24"/>
              </w:rPr>
              <w:t>placówki stworzone w celu zatrudnienia osób niepełnosprawnych zaliczonych do znacznego stopnia niepełnosprawności i osób zaliczonych do umiarkowanego stopnia niepełnosprawności, u których stwierdzono autyzm, upośledzenie umysłowe lub chorobę psychiczną</w:t>
            </w:r>
            <w:r w:rsidRPr="29C6FEBD">
              <w:rPr>
                <w:rFonts w:asciiTheme="minorHAnsi" w:eastAsiaTheme="minorEastAsia" w:hAnsiTheme="minorHAnsi" w:cstheme="minorBidi"/>
                <w:sz w:val="24"/>
                <w:szCs w:val="24"/>
              </w:rPr>
              <w:t xml:space="preserve">) wynika, że osoby z niepełnosprawnością intelektualną, które podjęły zatrudnienie stają się bardziej zaradne, aktywne zawodowo i społecznie. Często, sami pracownicy z niepełnosprawnością intelektualną motywują innych do zmiany swojego życia. </w:t>
            </w:r>
          </w:p>
          <w:p w14:paraId="4212E6E0" w14:textId="77777777" w:rsidR="00FC7D95" w:rsidRDefault="00FC7D95" w:rsidP="00FC7D95">
            <w:pPr>
              <w:pStyle w:val="Nagwek1"/>
              <w:rPr>
                <w:rFonts w:asciiTheme="minorHAnsi" w:eastAsiaTheme="minorEastAsia" w:hAnsiTheme="minorHAnsi" w:cstheme="minorBidi"/>
                <w:b w:val="0"/>
                <w:bCs w:val="0"/>
                <w:sz w:val="24"/>
                <w:szCs w:val="24"/>
              </w:rPr>
            </w:pPr>
            <w:r w:rsidRPr="51AE9C66">
              <w:rPr>
                <w:rFonts w:asciiTheme="minorHAnsi" w:eastAsiaTheme="minorEastAsia" w:hAnsiTheme="minorHAnsi" w:cstheme="minorBidi"/>
                <w:b w:val="0"/>
                <w:bCs w:val="0"/>
                <w:sz w:val="24"/>
                <w:szCs w:val="24"/>
              </w:rPr>
              <w:t xml:space="preserve">Przyczyny bierności zawodowej mają charakter wieloaspektowy. W dużej mierze są związane ze środowiskiem zewnętrznym, w tym postawą pracodawców z otwartego rynku pracy („Postrzeganie niepełnosprawności pracowników i uwarunkowania ich zatrudnienia a zarządzanie personelem w organizacji – E. </w:t>
            </w:r>
            <w:proofErr w:type="spellStart"/>
            <w:r w:rsidRPr="51AE9C66">
              <w:rPr>
                <w:rFonts w:asciiTheme="minorHAnsi" w:eastAsiaTheme="minorEastAsia" w:hAnsiTheme="minorHAnsi" w:cstheme="minorBidi"/>
                <w:b w:val="0"/>
                <w:bCs w:val="0"/>
                <w:sz w:val="24"/>
                <w:szCs w:val="24"/>
              </w:rPr>
              <w:t>Giermanowska</w:t>
            </w:r>
            <w:proofErr w:type="spellEnd"/>
            <w:r w:rsidRPr="51AE9C66">
              <w:rPr>
                <w:rFonts w:asciiTheme="minorHAnsi" w:eastAsiaTheme="minorEastAsia" w:hAnsiTheme="minorHAnsi" w:cstheme="minorBidi"/>
                <w:b w:val="0"/>
                <w:bCs w:val="0"/>
                <w:sz w:val="24"/>
                <w:szCs w:val="24"/>
              </w:rPr>
              <w:t xml:space="preserve">, 2009) oraz stosunkiem rodziców (opiekunów) do aktywności zawodowej ich dorosłych dzieci („Trudne drogi adaptacji. Wątki adaptacyjne w analizie sytuacji dorosłych osób z niepełnosprawnością intelektualną we współczesnym społeczeństwie polskim” E. </w:t>
            </w:r>
            <w:proofErr w:type="spellStart"/>
            <w:r w:rsidRPr="51AE9C66">
              <w:rPr>
                <w:rFonts w:asciiTheme="minorHAnsi" w:eastAsiaTheme="minorEastAsia" w:hAnsiTheme="minorHAnsi" w:cstheme="minorBidi"/>
                <w:b w:val="0"/>
                <w:bCs w:val="0"/>
                <w:sz w:val="24"/>
                <w:szCs w:val="24"/>
              </w:rPr>
              <w:t>Cytowska</w:t>
            </w:r>
            <w:proofErr w:type="spellEnd"/>
            <w:r w:rsidRPr="51AE9C66">
              <w:rPr>
                <w:rFonts w:asciiTheme="minorHAnsi" w:eastAsiaTheme="minorEastAsia" w:hAnsiTheme="minorHAnsi" w:cstheme="minorBidi"/>
                <w:b w:val="0"/>
                <w:bCs w:val="0"/>
                <w:sz w:val="24"/>
                <w:szCs w:val="24"/>
              </w:rPr>
              <w:t xml:space="preserve">, 2012; „Profile społeczno-demograficzne osób niepełnosprawnych a ich aktywność zawodowa” – I. </w:t>
            </w:r>
            <w:proofErr w:type="spellStart"/>
            <w:r w:rsidRPr="51AE9C66">
              <w:rPr>
                <w:rFonts w:asciiTheme="minorHAnsi" w:eastAsiaTheme="minorEastAsia" w:hAnsiTheme="minorHAnsi" w:cstheme="minorBidi"/>
                <w:b w:val="0"/>
                <w:bCs w:val="0"/>
                <w:sz w:val="24"/>
                <w:szCs w:val="24"/>
              </w:rPr>
              <w:t>Kukulak</w:t>
            </w:r>
            <w:proofErr w:type="spellEnd"/>
            <w:r w:rsidRPr="51AE9C66">
              <w:rPr>
                <w:rFonts w:asciiTheme="minorHAnsi" w:eastAsiaTheme="minorEastAsia" w:hAnsiTheme="minorHAnsi" w:cstheme="minorBidi"/>
                <w:b w:val="0"/>
                <w:bCs w:val="0"/>
                <w:sz w:val="24"/>
                <w:szCs w:val="24"/>
              </w:rPr>
              <w:t xml:space="preserve">-Dolata, I. </w:t>
            </w:r>
            <w:proofErr w:type="spellStart"/>
            <w:r w:rsidRPr="51AE9C66">
              <w:rPr>
                <w:rFonts w:asciiTheme="minorHAnsi" w:eastAsiaTheme="minorEastAsia" w:hAnsiTheme="minorHAnsi" w:cstheme="minorBidi"/>
                <w:b w:val="0"/>
                <w:bCs w:val="0"/>
                <w:sz w:val="24"/>
                <w:szCs w:val="24"/>
              </w:rPr>
              <w:t>Poliwczak</w:t>
            </w:r>
            <w:proofErr w:type="spellEnd"/>
            <w:r w:rsidRPr="51AE9C66">
              <w:rPr>
                <w:rFonts w:asciiTheme="minorHAnsi" w:eastAsiaTheme="minorEastAsia" w:hAnsiTheme="minorHAnsi" w:cstheme="minorBidi"/>
                <w:b w:val="0"/>
                <w:bCs w:val="0"/>
                <w:sz w:val="24"/>
                <w:szCs w:val="24"/>
              </w:rPr>
              <w:t xml:space="preserve">, 2015), nie zaś z indywidualnymi czynnikami biologicznymi, na przykład stopniem i rodzajem niepełnosprawności („Życie w integracji. Stargardzki model lokalnego systemu rehabilitacji i </w:t>
            </w:r>
            <w:proofErr w:type="spellStart"/>
            <w:r w:rsidRPr="51AE9C66">
              <w:rPr>
                <w:rFonts w:asciiTheme="minorHAnsi" w:eastAsiaTheme="minorEastAsia" w:hAnsiTheme="minorHAnsi" w:cstheme="minorBidi"/>
                <w:b w:val="0"/>
                <w:bCs w:val="0"/>
                <w:sz w:val="24"/>
                <w:szCs w:val="24"/>
              </w:rPr>
              <w:t>wspracia</w:t>
            </w:r>
            <w:proofErr w:type="spellEnd"/>
            <w:r w:rsidRPr="51AE9C66">
              <w:rPr>
                <w:rFonts w:asciiTheme="minorHAnsi" w:eastAsiaTheme="minorEastAsia" w:hAnsiTheme="minorHAnsi" w:cstheme="minorBidi"/>
                <w:b w:val="0"/>
                <w:bCs w:val="0"/>
                <w:sz w:val="24"/>
                <w:szCs w:val="24"/>
              </w:rPr>
              <w:t xml:space="preserve"> społeczno-zawodowego osób z </w:t>
            </w:r>
            <w:proofErr w:type="spellStart"/>
            <w:r w:rsidRPr="51AE9C66">
              <w:rPr>
                <w:rFonts w:asciiTheme="minorHAnsi" w:eastAsiaTheme="minorEastAsia" w:hAnsiTheme="minorHAnsi" w:cstheme="minorBidi"/>
                <w:b w:val="0"/>
                <w:bCs w:val="0"/>
                <w:sz w:val="24"/>
                <w:szCs w:val="24"/>
              </w:rPr>
              <w:t>niepelnosprawnością</w:t>
            </w:r>
            <w:proofErr w:type="spellEnd"/>
            <w:r w:rsidRPr="51AE9C66">
              <w:rPr>
                <w:rFonts w:asciiTheme="minorHAnsi" w:eastAsiaTheme="minorEastAsia" w:hAnsiTheme="minorHAnsi" w:cstheme="minorBidi"/>
                <w:b w:val="0"/>
                <w:bCs w:val="0"/>
                <w:sz w:val="24"/>
                <w:szCs w:val="24"/>
              </w:rPr>
              <w:t xml:space="preserve"> intelektualną” M. </w:t>
            </w:r>
            <w:proofErr w:type="spellStart"/>
            <w:r w:rsidRPr="51AE9C66">
              <w:rPr>
                <w:rFonts w:asciiTheme="minorHAnsi" w:eastAsiaTheme="minorEastAsia" w:hAnsiTheme="minorHAnsi" w:cstheme="minorBidi"/>
                <w:b w:val="0"/>
                <w:bCs w:val="0"/>
                <w:sz w:val="24"/>
                <w:szCs w:val="24"/>
              </w:rPr>
              <w:t>Anasz</w:t>
            </w:r>
            <w:proofErr w:type="spellEnd"/>
            <w:r w:rsidRPr="51AE9C66">
              <w:rPr>
                <w:rFonts w:asciiTheme="minorHAnsi" w:eastAsiaTheme="minorEastAsia" w:hAnsiTheme="minorHAnsi" w:cstheme="minorBidi"/>
                <w:b w:val="0"/>
                <w:bCs w:val="0"/>
                <w:sz w:val="24"/>
                <w:szCs w:val="24"/>
              </w:rPr>
              <w:t xml:space="preserve">, K. </w:t>
            </w:r>
            <w:proofErr w:type="spellStart"/>
            <w:r w:rsidRPr="51AE9C66">
              <w:rPr>
                <w:rFonts w:asciiTheme="minorHAnsi" w:eastAsiaTheme="minorEastAsia" w:hAnsiTheme="minorHAnsi" w:cstheme="minorBidi"/>
                <w:b w:val="0"/>
                <w:bCs w:val="0"/>
                <w:sz w:val="24"/>
                <w:szCs w:val="24"/>
              </w:rPr>
              <w:t>Mrugalska</w:t>
            </w:r>
            <w:proofErr w:type="spellEnd"/>
            <w:r w:rsidRPr="51AE9C66">
              <w:rPr>
                <w:rFonts w:asciiTheme="minorHAnsi" w:eastAsiaTheme="minorEastAsia" w:hAnsiTheme="minorHAnsi" w:cstheme="minorBidi"/>
                <w:b w:val="0"/>
                <w:bCs w:val="0"/>
                <w:sz w:val="24"/>
                <w:szCs w:val="24"/>
              </w:rPr>
              <w:t xml:space="preserve">, J. </w:t>
            </w:r>
            <w:proofErr w:type="spellStart"/>
            <w:r w:rsidRPr="51AE9C66">
              <w:rPr>
                <w:rFonts w:asciiTheme="minorHAnsi" w:eastAsiaTheme="minorEastAsia" w:hAnsiTheme="minorHAnsi" w:cstheme="minorBidi"/>
                <w:b w:val="0"/>
                <w:bCs w:val="0"/>
                <w:sz w:val="24"/>
                <w:szCs w:val="24"/>
              </w:rPr>
              <w:t>Wojtyńska</w:t>
            </w:r>
            <w:proofErr w:type="spellEnd"/>
            <w:r w:rsidRPr="51AE9C66">
              <w:rPr>
                <w:rFonts w:asciiTheme="minorHAnsi" w:eastAsiaTheme="minorEastAsia" w:hAnsiTheme="minorHAnsi" w:cstheme="minorBidi"/>
                <w:b w:val="0"/>
                <w:bCs w:val="0"/>
                <w:sz w:val="24"/>
                <w:szCs w:val="24"/>
              </w:rPr>
              <w:t xml:space="preserve">, M. Ferenc, 2012). </w:t>
            </w:r>
          </w:p>
          <w:p w14:paraId="6A2FFD68" w14:textId="77777777" w:rsidR="00FC7D95" w:rsidRDefault="00FC7D95" w:rsidP="00FC7D95">
            <w:pPr>
              <w:spacing w:line="240" w:lineRule="auto"/>
            </w:pPr>
            <w:r w:rsidRPr="29C6FEBD">
              <w:rPr>
                <w:rFonts w:cs="Calibri"/>
                <w:color w:val="000000" w:themeColor="text1"/>
                <w:sz w:val="24"/>
                <w:szCs w:val="24"/>
              </w:rPr>
              <w:t xml:space="preserve">Pilotaż instrumentu „Asysta Prawna jako element wspieranego podejmowania decyzji” wyraźnie pokazał istniejącą potrzebę wsparcia prawnego osób z niepełnosprawnością intelektualną związaną z zatrudnieniem i załatwianiem innych spraw takich jak podpisanie umowy, zakupy na raty, sprawy majątkowe, wykonywanie zabiegów medycznych (M. </w:t>
            </w:r>
            <w:r w:rsidRPr="29C6FEBD">
              <w:rPr>
                <w:rFonts w:ascii="Times New Roman" w:eastAsia="Times New Roman" w:hAnsi="Times New Roman"/>
                <w:sz w:val="24"/>
                <w:szCs w:val="24"/>
              </w:rPr>
              <w:t xml:space="preserve">Kocejko, A. </w:t>
            </w:r>
            <w:proofErr w:type="spellStart"/>
            <w:r w:rsidRPr="29C6FEBD">
              <w:rPr>
                <w:rFonts w:ascii="Times New Roman" w:eastAsia="Times New Roman" w:hAnsi="Times New Roman"/>
                <w:sz w:val="24"/>
                <w:szCs w:val="24"/>
              </w:rPr>
              <w:t>Greniuk</w:t>
            </w:r>
            <w:proofErr w:type="spellEnd"/>
            <w:r w:rsidRPr="29C6FEBD">
              <w:rPr>
                <w:rFonts w:cs="Calibri"/>
                <w:color w:val="000000" w:themeColor="text1"/>
                <w:sz w:val="24"/>
                <w:szCs w:val="24"/>
              </w:rPr>
              <w:t xml:space="preserve">, Raport z ewaluacji i pilotażu instrumentu asysta prawna jako element systemu wsparcia korzystania ze </w:t>
            </w:r>
            <w:proofErr w:type="spellStart"/>
            <w:r w:rsidRPr="29C6FEBD">
              <w:rPr>
                <w:rFonts w:ascii="Times New Roman" w:eastAsia="Times New Roman" w:hAnsi="Times New Roman"/>
                <w:sz w:val="24"/>
                <w:szCs w:val="24"/>
              </w:rPr>
              <w:t>zdolności</w:t>
            </w:r>
            <w:proofErr w:type="spellEnd"/>
            <w:r w:rsidRPr="29C6FEBD">
              <w:rPr>
                <w:rFonts w:ascii="Times New Roman" w:eastAsia="Times New Roman" w:hAnsi="Times New Roman"/>
                <w:sz w:val="24"/>
                <w:szCs w:val="24"/>
              </w:rPr>
              <w:t xml:space="preserve"> do </w:t>
            </w:r>
            <w:proofErr w:type="spellStart"/>
            <w:r w:rsidRPr="29C6FEBD">
              <w:rPr>
                <w:rFonts w:ascii="Times New Roman" w:eastAsia="Times New Roman" w:hAnsi="Times New Roman"/>
                <w:sz w:val="24"/>
                <w:szCs w:val="24"/>
              </w:rPr>
              <w:t>czynności</w:t>
            </w:r>
            <w:proofErr w:type="spellEnd"/>
            <w:r w:rsidRPr="29C6FEBD">
              <w:rPr>
                <w:rFonts w:ascii="Times New Roman" w:eastAsia="Times New Roman" w:hAnsi="Times New Roman"/>
                <w:sz w:val="24"/>
                <w:szCs w:val="24"/>
              </w:rPr>
              <w:t xml:space="preserve"> prawnych</w:t>
            </w:r>
            <w:r w:rsidRPr="29C6FEBD">
              <w:rPr>
                <w:rFonts w:cs="Calibri"/>
                <w:color w:val="000000" w:themeColor="text1"/>
                <w:sz w:val="24"/>
                <w:szCs w:val="24"/>
              </w:rPr>
              <w:t>, 2023).</w:t>
            </w:r>
          </w:p>
          <w:p w14:paraId="4E197D69" w14:textId="77777777" w:rsidR="00FC7D95" w:rsidRDefault="00FC7D95" w:rsidP="00FC7D95">
            <w:pPr>
              <w:spacing w:line="240" w:lineRule="auto"/>
            </w:pPr>
            <w:r w:rsidRPr="0C94E1DF">
              <w:rPr>
                <w:rFonts w:cs="Calibri"/>
                <w:sz w:val="24"/>
                <w:szCs w:val="24"/>
              </w:rPr>
              <w:t>Asysta prawna umożliwi zwiększenie świadomości osoby z niepełnosprawnością na temat zatrudnienia, zwiększy dostęp do innych form wsparcia, np. trenera pracy, a przez to wpłynie na większą aktywność zawodową osób z niepełnosprawnościami.</w:t>
            </w:r>
            <w:r w:rsidRPr="0C94E1DF">
              <w:rPr>
                <w:rFonts w:cs="Calibri"/>
                <w:color w:val="000000" w:themeColor="text1"/>
                <w:sz w:val="24"/>
                <w:szCs w:val="24"/>
              </w:rPr>
              <w:t xml:space="preserve"> </w:t>
            </w:r>
          </w:p>
          <w:p w14:paraId="42ECFDEF" w14:textId="77777777" w:rsidR="00FC7D95" w:rsidRDefault="00FC7D95" w:rsidP="00FC7D95">
            <w:pPr>
              <w:spacing w:line="240" w:lineRule="auto"/>
            </w:pPr>
            <w:r w:rsidRPr="0C94E1DF">
              <w:rPr>
                <w:rFonts w:cs="Calibri"/>
                <w:sz w:val="24"/>
                <w:szCs w:val="24"/>
              </w:rPr>
              <w:t xml:space="preserve"> </w:t>
            </w:r>
          </w:p>
          <w:p w14:paraId="18D69D08" w14:textId="77777777" w:rsidR="00FC7D95" w:rsidRDefault="00FC7D95" w:rsidP="00FC7D95">
            <w:pPr>
              <w:spacing w:line="240" w:lineRule="auto"/>
            </w:pPr>
            <w:r w:rsidRPr="0C94E1DF">
              <w:rPr>
                <w:rFonts w:cs="Calibri"/>
                <w:color w:val="000000" w:themeColor="text1"/>
                <w:sz w:val="24"/>
                <w:szCs w:val="24"/>
              </w:rPr>
              <w:t xml:space="preserve"> </w:t>
            </w:r>
          </w:p>
          <w:p w14:paraId="7C530243" w14:textId="77777777" w:rsidR="00FC7D95" w:rsidRDefault="00FC7D95" w:rsidP="00FC7D95">
            <w:pPr>
              <w:spacing w:line="240" w:lineRule="auto"/>
            </w:pPr>
            <w:r w:rsidRPr="0C94E1DF">
              <w:rPr>
                <w:rFonts w:cs="Calibri"/>
                <w:sz w:val="24"/>
                <w:szCs w:val="24"/>
              </w:rPr>
              <w:t xml:space="preserve"> </w:t>
            </w:r>
          </w:p>
          <w:p w14:paraId="178AB3B0" w14:textId="77777777" w:rsidR="00FC7D95" w:rsidRDefault="00FC7D95" w:rsidP="00FC7D95">
            <w:pPr>
              <w:spacing w:line="240" w:lineRule="auto"/>
            </w:pPr>
            <w:r w:rsidRPr="0C94E1DF">
              <w:rPr>
                <w:rFonts w:cs="Calibri"/>
                <w:color w:val="000000" w:themeColor="text1"/>
                <w:sz w:val="24"/>
                <w:szCs w:val="24"/>
              </w:rPr>
              <w:t xml:space="preserve">  </w:t>
            </w:r>
          </w:p>
          <w:p w14:paraId="2DC44586" w14:textId="77777777" w:rsidR="00FC7D95" w:rsidRPr="008B4FE6" w:rsidRDefault="00FC7D95" w:rsidP="00FC7D95">
            <w:pPr>
              <w:spacing w:line="240" w:lineRule="auto"/>
              <w:rPr>
                <w:rFonts w:ascii="Times New Roman" w:hAnsi="Times New Roman"/>
                <w:color w:val="000000"/>
              </w:rPr>
            </w:pPr>
          </w:p>
        </w:tc>
      </w:tr>
      <w:tr w:rsidR="00FC7D95" w:rsidRPr="008B4FE6" w14:paraId="7A3E5601" w14:textId="77777777" w:rsidTr="003A573A">
        <w:trPr>
          <w:trHeight w:val="142"/>
        </w:trPr>
        <w:tc>
          <w:tcPr>
            <w:tcW w:w="5000" w:type="pct"/>
            <w:gridSpan w:val="20"/>
            <w:shd w:val="clear" w:color="auto" w:fill="99CCFF"/>
          </w:tcPr>
          <w:p w14:paraId="5BEE11C1" w14:textId="77777777" w:rsidR="00FC7D95" w:rsidRPr="008B4FE6" w:rsidRDefault="00FC7D95" w:rsidP="00FC7D95">
            <w:pPr>
              <w:numPr>
                <w:ilvl w:val="0"/>
                <w:numId w:val="4"/>
              </w:numPr>
              <w:spacing w:before="60" w:after="60" w:line="240" w:lineRule="auto"/>
              <w:jc w:val="both"/>
              <w:rPr>
                <w:rFonts w:ascii="Times New Roman" w:hAnsi="Times New Roman"/>
                <w:b/>
                <w:color w:val="000000"/>
              </w:rPr>
            </w:pPr>
            <w:r w:rsidRPr="008B4FE6">
              <w:rPr>
                <w:rFonts w:ascii="Times New Roman" w:hAnsi="Times New Roman"/>
                <w:b/>
                <w:color w:val="000000"/>
              </w:rPr>
              <w:lastRenderedPageBreak/>
              <w:t>Wpływ na pozostałe obszary</w:t>
            </w:r>
          </w:p>
        </w:tc>
      </w:tr>
      <w:tr w:rsidR="00FC7D95" w:rsidRPr="008B4FE6" w14:paraId="428401C8" w14:textId="77777777" w:rsidTr="00AF06F0">
        <w:trPr>
          <w:trHeight w:val="1031"/>
        </w:trPr>
        <w:tc>
          <w:tcPr>
            <w:tcW w:w="537" w:type="pct"/>
            <w:shd w:val="clear" w:color="auto" w:fill="FFFFFF" w:themeFill="background1"/>
          </w:tcPr>
          <w:p w14:paraId="4FFCBC07" w14:textId="77777777" w:rsidR="00FC7D95" w:rsidRPr="008B4FE6" w:rsidRDefault="00FC7D95" w:rsidP="00FC7D95">
            <w:pPr>
              <w:spacing w:line="240" w:lineRule="auto"/>
              <w:rPr>
                <w:rFonts w:ascii="Times New Roman" w:hAnsi="Times New Roman"/>
                <w:color w:val="000000"/>
              </w:rPr>
            </w:pPr>
          </w:p>
          <w:p w14:paraId="328B6508" w14:textId="77777777" w:rsidR="00FC7D95" w:rsidRPr="008B4FE6" w:rsidRDefault="00FC7D95" w:rsidP="00FC7D95">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środowisko naturalne</w:t>
            </w:r>
          </w:p>
          <w:p w14:paraId="2FEF3E58" w14:textId="77777777" w:rsidR="00FC7D95" w:rsidRDefault="00FC7D95" w:rsidP="00FC7D95">
            <w:pPr>
              <w:spacing w:line="240" w:lineRule="auto"/>
              <w:rPr>
                <w:rFonts w:ascii="Times New Roman" w:hAnsi="Times New Roman"/>
                <w:color w:val="000000"/>
              </w:rPr>
            </w:pPr>
            <w:r w:rsidRPr="008B4FE6">
              <w:rPr>
                <w:rFonts w:ascii="Times New Roman" w:hAnsi="Times New Roman"/>
                <w:color w:val="000000"/>
              </w:rPr>
              <w:fldChar w:fldCharType="begin">
                <w:ffData>
                  <w:name w:val=""/>
                  <w:enabled/>
                  <w:calcOnExit w:val="0"/>
                  <w:checkBox>
                    <w:sizeAuto/>
                    <w:default w:val="0"/>
                  </w:checkBox>
                </w:ffData>
              </w:fldChar>
            </w:r>
            <w:r w:rsidRPr="008B4FE6">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rPr>
              <w:t>sytuacja i rozwój regionalny</w:t>
            </w:r>
          </w:p>
          <w:p w14:paraId="0ECCB4E4" w14:textId="4CEEB3B8" w:rsidR="00FC7D95" w:rsidRPr="00BF6667" w:rsidRDefault="00FC7D95" w:rsidP="00FC7D95">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D93C2B">
              <w:rPr>
                <w:rFonts w:ascii="Times New Roman" w:hAnsi="Times New Roman"/>
                <w:spacing w:val="-2"/>
              </w:rPr>
              <w:t>Sądy` powszechne, administracyjne lub wojskowe</w:t>
            </w:r>
          </w:p>
        </w:tc>
        <w:tc>
          <w:tcPr>
            <w:tcW w:w="1663" w:type="pct"/>
            <w:gridSpan w:val="7"/>
            <w:shd w:val="clear" w:color="auto" w:fill="FFFFFF" w:themeFill="background1"/>
          </w:tcPr>
          <w:p w14:paraId="1728B4D0" w14:textId="77777777" w:rsidR="00FC7D95" w:rsidRPr="008B4FE6" w:rsidRDefault="00FC7D95" w:rsidP="00FC7D95">
            <w:pPr>
              <w:spacing w:line="240" w:lineRule="auto"/>
              <w:rPr>
                <w:rFonts w:ascii="Times New Roman" w:hAnsi="Times New Roman"/>
                <w:color w:val="000000"/>
              </w:rPr>
            </w:pPr>
          </w:p>
          <w:p w14:paraId="397CE27A" w14:textId="77777777" w:rsidR="00FC7D95" w:rsidRPr="008B4FE6" w:rsidRDefault="00FC7D95" w:rsidP="00FC7D95">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demografia</w:t>
            </w:r>
          </w:p>
          <w:p w14:paraId="3AF2DE0D" w14:textId="77777777" w:rsidR="00FC7D95" w:rsidRDefault="00FC7D95" w:rsidP="00FC7D95">
            <w:pPr>
              <w:spacing w:line="240" w:lineRule="auto"/>
              <w:rPr>
                <w:rFonts w:ascii="Times New Roman" w:hAnsi="Times New Roman"/>
                <w:color w:val="000000"/>
              </w:rPr>
            </w:pPr>
            <w:r w:rsidRPr="008B4FE6">
              <w:rPr>
                <w:rFonts w:ascii="Times New Roman" w:hAnsi="Times New Roman"/>
                <w:color w:val="000000"/>
              </w:rPr>
              <w:fldChar w:fldCharType="begin">
                <w:ffData>
                  <w:name w:val=""/>
                  <w:enabled/>
                  <w:calcOnExit w:val="0"/>
                  <w:checkBox>
                    <w:sizeAuto/>
                    <w:default w:val="0"/>
                  </w:checkBox>
                </w:ffData>
              </w:fldChar>
            </w:r>
            <w:r w:rsidRPr="008B4FE6">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Pr>
                <w:rFonts w:ascii="Times New Roman" w:hAnsi="Times New Roman"/>
                <w:color w:val="000000"/>
              </w:rPr>
              <w:t>mienie państwowe</w:t>
            </w:r>
          </w:p>
          <w:p w14:paraId="3E1B19C3" w14:textId="0B756D2B" w:rsidR="00FC7D95" w:rsidRPr="008B4FE6" w:rsidRDefault="008F68F9" w:rsidP="00FC7D95">
            <w:pPr>
              <w:spacing w:line="240" w:lineRule="auto"/>
              <w:rPr>
                <w:rFonts w:ascii="Times New Roman" w:hAnsi="Times New Roman"/>
                <w:color w:val="000000"/>
              </w:rPr>
            </w:pPr>
            <w:r>
              <w:rPr>
                <w:rFonts w:ascii="Times New Roman" w:hAnsi="Times New Roman"/>
                <w:color w:val="000000"/>
              </w:rPr>
              <w:t>X</w:t>
            </w:r>
            <w:r w:rsidR="00FC7D95" w:rsidRPr="008F68F9">
              <w:rPr>
                <w:rFonts w:ascii="Times New Roman" w:hAnsi="Times New Roman"/>
                <w:strike/>
                <w:color w:val="000000"/>
                <w:sz w:val="20"/>
                <w:szCs w:val="20"/>
              </w:rPr>
              <w:t xml:space="preserve"> </w:t>
            </w:r>
            <w:r w:rsidR="00FC7D95" w:rsidRPr="008B4FE6">
              <w:rPr>
                <w:rFonts w:ascii="Times New Roman" w:hAnsi="Times New Roman"/>
                <w:color w:val="000000"/>
                <w:spacing w:val="-2"/>
              </w:rPr>
              <w:t xml:space="preserve">inne: </w:t>
            </w:r>
            <w:r>
              <w:rPr>
                <w:rFonts w:ascii="Times New Roman" w:hAnsi="Times New Roman"/>
                <w:color w:val="000000"/>
                <w:spacing w:val="-2"/>
              </w:rPr>
              <w:t xml:space="preserve">osoby z niepełnosprawnościami </w:t>
            </w:r>
          </w:p>
        </w:tc>
        <w:tc>
          <w:tcPr>
            <w:tcW w:w="2799" w:type="pct"/>
            <w:gridSpan w:val="12"/>
            <w:shd w:val="clear" w:color="auto" w:fill="FFFFFF" w:themeFill="background1"/>
          </w:tcPr>
          <w:p w14:paraId="34959D4B" w14:textId="77777777" w:rsidR="00FC7D95" w:rsidRPr="008B4FE6" w:rsidRDefault="00FC7D95" w:rsidP="00FC7D95">
            <w:pPr>
              <w:spacing w:line="240" w:lineRule="auto"/>
              <w:rPr>
                <w:rFonts w:ascii="Times New Roman" w:hAnsi="Times New Roman"/>
                <w:color w:val="000000"/>
              </w:rPr>
            </w:pPr>
          </w:p>
          <w:p w14:paraId="5B83D1E9" w14:textId="77777777" w:rsidR="00FC7D95" w:rsidRDefault="00FC7D95" w:rsidP="00FC7D95">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informatyzacja</w:t>
            </w:r>
          </w:p>
          <w:p w14:paraId="1A141F84" w14:textId="77777777" w:rsidR="00FC7D95" w:rsidRPr="008B4FE6" w:rsidRDefault="00FC7D95" w:rsidP="00FC7D95">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Pr>
                <w:rFonts w:ascii="Times New Roman" w:hAnsi="Times New Roman"/>
                <w:color w:val="000000"/>
                <w:spacing w:val="-2"/>
              </w:rPr>
              <w:t>zdrowie</w:t>
            </w:r>
          </w:p>
        </w:tc>
      </w:tr>
      <w:tr w:rsidR="00FC7D95" w:rsidRPr="008B4FE6" w14:paraId="56EC4477" w14:textId="77777777" w:rsidTr="00FC7D95">
        <w:trPr>
          <w:trHeight w:val="712"/>
        </w:trPr>
        <w:tc>
          <w:tcPr>
            <w:tcW w:w="1411" w:type="pct"/>
            <w:gridSpan w:val="4"/>
            <w:shd w:val="clear" w:color="auto" w:fill="FFFFFF" w:themeFill="background1"/>
            <w:vAlign w:val="center"/>
          </w:tcPr>
          <w:p w14:paraId="4F0A0B06" w14:textId="77777777" w:rsidR="00FC7D95" w:rsidRPr="008B4FE6" w:rsidRDefault="00FC7D95" w:rsidP="00FC7D95">
            <w:pPr>
              <w:spacing w:line="240" w:lineRule="auto"/>
              <w:rPr>
                <w:rFonts w:ascii="Times New Roman" w:hAnsi="Times New Roman"/>
                <w:color w:val="000000"/>
              </w:rPr>
            </w:pPr>
            <w:r w:rsidRPr="008B4FE6">
              <w:rPr>
                <w:rFonts w:ascii="Times New Roman" w:hAnsi="Times New Roman"/>
                <w:color w:val="000000"/>
              </w:rPr>
              <w:lastRenderedPageBreak/>
              <w:t>Omówienie wpływu</w:t>
            </w:r>
          </w:p>
        </w:tc>
        <w:tc>
          <w:tcPr>
            <w:tcW w:w="3589" w:type="pct"/>
            <w:gridSpan w:val="16"/>
            <w:shd w:val="clear" w:color="auto" w:fill="FFFFFF" w:themeFill="background1"/>
            <w:vAlign w:val="center"/>
          </w:tcPr>
          <w:p w14:paraId="4357A966" w14:textId="05ABF42C" w:rsidR="00FC7D95" w:rsidRPr="008F68F9" w:rsidRDefault="008F68F9" w:rsidP="00FC7D95">
            <w:pPr>
              <w:spacing w:line="240" w:lineRule="auto"/>
              <w:jc w:val="both"/>
              <w:rPr>
                <w:rFonts w:asciiTheme="minorHAnsi" w:hAnsiTheme="minorHAnsi" w:cstheme="minorHAnsi"/>
                <w:color w:val="000000"/>
                <w:spacing w:val="-2"/>
              </w:rPr>
            </w:pPr>
            <w:r w:rsidRPr="008F68F9">
              <w:rPr>
                <w:rFonts w:asciiTheme="minorHAnsi" w:hAnsiTheme="minorHAnsi" w:cstheme="minorHAnsi"/>
                <w:color w:val="000000"/>
                <w:spacing w:val="-2"/>
              </w:rPr>
              <w:t>Projektowane przepisy</w:t>
            </w:r>
            <w:r>
              <w:rPr>
                <w:rFonts w:asciiTheme="minorHAnsi" w:hAnsiTheme="minorHAnsi" w:cstheme="minorHAnsi"/>
                <w:color w:val="000000"/>
                <w:spacing w:val="-2"/>
              </w:rPr>
              <w:t xml:space="preserve"> zapewnią osobom z niepełnosprawnościami realizację autonomii decyzyjnej, zwiększą możliwości prowadzenia niezależnego życia przy wsparciu, którego mogą potrzebować, a przez to wpłyną na ich aktywność życiową, w tym zawodową. </w:t>
            </w:r>
            <w:bookmarkStart w:id="3" w:name="_GoBack"/>
            <w:bookmarkEnd w:id="3"/>
          </w:p>
          <w:p w14:paraId="44690661" w14:textId="77777777" w:rsidR="00FC7D95" w:rsidRPr="008B4FE6" w:rsidRDefault="00FC7D95" w:rsidP="00FC7D95">
            <w:pPr>
              <w:spacing w:line="240" w:lineRule="auto"/>
              <w:jc w:val="both"/>
              <w:rPr>
                <w:rFonts w:ascii="Times New Roman" w:hAnsi="Times New Roman"/>
                <w:color w:val="000000"/>
                <w:spacing w:val="-2"/>
              </w:rPr>
            </w:pPr>
          </w:p>
          <w:p w14:paraId="74539910" w14:textId="77777777" w:rsidR="00FC7D95" w:rsidRPr="008B4FE6" w:rsidRDefault="00FC7D95" w:rsidP="00FC7D95">
            <w:pPr>
              <w:spacing w:line="240" w:lineRule="auto"/>
              <w:jc w:val="both"/>
              <w:rPr>
                <w:rFonts w:ascii="Times New Roman" w:hAnsi="Times New Roman"/>
                <w:color w:val="000000"/>
                <w:spacing w:val="-2"/>
              </w:rPr>
            </w:pPr>
          </w:p>
        </w:tc>
      </w:tr>
      <w:tr w:rsidR="00FC7D95" w:rsidRPr="008B4FE6" w14:paraId="37D59E7E" w14:textId="77777777" w:rsidTr="003A573A">
        <w:trPr>
          <w:trHeight w:val="142"/>
        </w:trPr>
        <w:tc>
          <w:tcPr>
            <w:tcW w:w="5000" w:type="pct"/>
            <w:gridSpan w:val="20"/>
            <w:shd w:val="clear" w:color="auto" w:fill="99CCFF"/>
          </w:tcPr>
          <w:p w14:paraId="6A25BBE6" w14:textId="77777777" w:rsidR="00FC7D95" w:rsidRPr="00627221" w:rsidRDefault="00FC7D95" w:rsidP="00FC7D95">
            <w:pPr>
              <w:numPr>
                <w:ilvl w:val="0"/>
                <w:numId w:val="4"/>
              </w:numPr>
              <w:spacing w:before="60" w:after="60" w:line="240" w:lineRule="auto"/>
              <w:ind w:left="318" w:hanging="284"/>
              <w:jc w:val="both"/>
              <w:rPr>
                <w:rFonts w:ascii="Times New Roman" w:hAnsi="Times New Roman"/>
                <w:b/>
              </w:rPr>
            </w:pPr>
            <w:r>
              <w:rPr>
                <w:rFonts w:ascii="Times New Roman" w:hAnsi="Times New Roman"/>
                <w:b/>
                <w:spacing w:val="-2"/>
                <w:sz w:val="21"/>
                <w:szCs w:val="21"/>
              </w:rPr>
              <w:t>Planowane w</w:t>
            </w:r>
            <w:r w:rsidRPr="00627221">
              <w:rPr>
                <w:rFonts w:ascii="Times New Roman" w:hAnsi="Times New Roman"/>
                <w:b/>
                <w:spacing w:val="-2"/>
                <w:sz w:val="21"/>
                <w:szCs w:val="21"/>
              </w:rPr>
              <w:t>ykonani</w:t>
            </w:r>
            <w:r>
              <w:rPr>
                <w:rFonts w:ascii="Times New Roman" w:hAnsi="Times New Roman"/>
                <w:b/>
                <w:spacing w:val="-2"/>
                <w:sz w:val="21"/>
                <w:szCs w:val="21"/>
              </w:rPr>
              <w:t>e</w:t>
            </w:r>
            <w:r w:rsidRPr="00627221">
              <w:rPr>
                <w:rFonts w:ascii="Times New Roman" w:hAnsi="Times New Roman"/>
                <w:b/>
                <w:spacing w:val="-2"/>
                <w:sz w:val="21"/>
                <w:szCs w:val="21"/>
              </w:rPr>
              <w:t xml:space="preserve"> przepisów aktu prawnego</w:t>
            </w:r>
          </w:p>
        </w:tc>
      </w:tr>
      <w:tr w:rsidR="00FC7D95" w:rsidRPr="008B4FE6" w14:paraId="5A7E0CF2" w14:textId="77777777" w:rsidTr="003A573A">
        <w:trPr>
          <w:trHeight w:val="1031"/>
        </w:trPr>
        <w:tc>
          <w:tcPr>
            <w:tcW w:w="5000" w:type="pct"/>
            <w:gridSpan w:val="20"/>
            <w:shd w:val="clear" w:color="auto" w:fill="FFFFFF" w:themeFill="background1"/>
          </w:tcPr>
          <w:p w14:paraId="3C591752" w14:textId="77777777" w:rsidR="00FC7D95" w:rsidRPr="00B37C80" w:rsidRDefault="00FC7D95" w:rsidP="00FC7D95">
            <w:pPr>
              <w:spacing w:line="240" w:lineRule="auto"/>
              <w:jc w:val="both"/>
              <w:rPr>
                <w:rFonts w:ascii="Times New Roman" w:hAnsi="Times New Roman"/>
                <w:spacing w:val="-2"/>
              </w:rPr>
            </w:pPr>
          </w:p>
          <w:p w14:paraId="40E088F8" w14:textId="3DBE83D3" w:rsidR="00FC7D95" w:rsidRPr="00B37C80" w:rsidRDefault="00FC7D95" w:rsidP="00FC7D95">
            <w:pPr>
              <w:spacing w:after="160" w:line="256" w:lineRule="auto"/>
              <w:jc w:val="both"/>
              <w:rPr>
                <w:rFonts w:asciiTheme="minorHAnsi" w:eastAsiaTheme="minorEastAsia" w:hAnsiTheme="minorHAnsi" w:cstheme="minorBidi"/>
                <w:i/>
                <w:iCs/>
                <w:sz w:val="24"/>
                <w:szCs w:val="24"/>
              </w:rPr>
            </w:pPr>
            <w:r w:rsidRPr="29C6FEBD">
              <w:rPr>
                <w:rFonts w:asciiTheme="minorHAnsi" w:eastAsiaTheme="minorEastAsia" w:hAnsiTheme="minorHAnsi" w:cstheme="minorBidi"/>
                <w:sz w:val="24"/>
                <w:szCs w:val="24"/>
              </w:rPr>
              <w:t xml:space="preserve">Przepisy dotyczące wsparcia osób z niepełnosprawnościami w korzystaniu ze zdolności do czynności prawnych stanowiące wkład do ustawy o wyrównywaniu szans osób z niepełnosprawnościami nie przewidują odrębnego przepisu dotyczącego ich wejścia w życie. Mając na uwadze skomplikowaną materię tych przepisów oraz pozostałych przepisów ustawy o wyrównywaniu szans osób z niepełnosprawnościami przyjąć należy, że nie będzie ona wchodzić w życie na zasadach ogólnych (14 dni od dnia publikacji w Dzienniku Ustaw zgodnie z art. …), lecz ustawa o wyrównywaniu szans osób z niepełnosprawnościami przewidywać będzie dłuższe </w:t>
            </w:r>
            <w:r w:rsidRPr="29C6FEBD">
              <w:rPr>
                <w:rFonts w:asciiTheme="minorHAnsi" w:eastAsiaTheme="minorEastAsia" w:hAnsiTheme="minorHAnsi" w:cstheme="minorBidi"/>
                <w:i/>
                <w:iCs/>
                <w:sz w:val="24"/>
                <w:szCs w:val="24"/>
              </w:rPr>
              <w:t>vacatio legis.</w:t>
            </w:r>
          </w:p>
          <w:p w14:paraId="00F36651" w14:textId="77777777" w:rsidR="00FC7D95" w:rsidRPr="00B37C80" w:rsidRDefault="00FC7D95" w:rsidP="00FC7D95">
            <w:pPr>
              <w:spacing w:after="160" w:line="256" w:lineRule="auto"/>
              <w:jc w:val="both"/>
              <w:rPr>
                <w:rFonts w:asciiTheme="minorHAnsi" w:eastAsiaTheme="minorEastAsia" w:hAnsiTheme="minorHAnsi" w:cstheme="minorBidi"/>
                <w:b/>
                <w:bCs/>
                <w:sz w:val="24"/>
                <w:szCs w:val="24"/>
              </w:rPr>
            </w:pPr>
            <w:r w:rsidRPr="29C6FEBD">
              <w:rPr>
                <w:rFonts w:asciiTheme="minorHAnsi" w:eastAsiaTheme="minorEastAsia" w:hAnsiTheme="minorHAnsi" w:cstheme="minorBidi"/>
                <w:sz w:val="24"/>
                <w:szCs w:val="24"/>
              </w:rPr>
              <w:t xml:space="preserve">Niezależnie od tego w jaki sposób zostanie ukształtowane ostatecznie </w:t>
            </w:r>
            <w:r w:rsidRPr="29C6FEBD">
              <w:rPr>
                <w:rFonts w:asciiTheme="minorHAnsi" w:eastAsiaTheme="minorEastAsia" w:hAnsiTheme="minorHAnsi" w:cstheme="minorBidi"/>
                <w:i/>
                <w:iCs/>
                <w:sz w:val="24"/>
                <w:szCs w:val="24"/>
              </w:rPr>
              <w:t xml:space="preserve">vacatio legis </w:t>
            </w:r>
            <w:r w:rsidRPr="29C6FEBD">
              <w:rPr>
                <w:rFonts w:asciiTheme="minorHAnsi" w:eastAsiaTheme="minorEastAsia" w:hAnsiTheme="minorHAnsi" w:cstheme="minorBidi"/>
                <w:sz w:val="24"/>
                <w:szCs w:val="24"/>
              </w:rPr>
              <w:t>ustawy o wyrównywaniu szans osób z niepełnosprawnościami przepisy przejściowe przewidują szczególne uregulowania dotyczące derogacji instytucji ubezwłasnowolnienia oraz wprowadzenia systemu wsparcia w korzystaniu ze zdolności do czynności prawnych dla osób z niepełnosprawnościami.</w:t>
            </w:r>
          </w:p>
          <w:p w14:paraId="14A8EB33" w14:textId="77777777" w:rsidR="00FC7D95" w:rsidRPr="00B37C80" w:rsidRDefault="00FC7D95" w:rsidP="00FC7D95">
            <w:pPr>
              <w:spacing w:after="160" w:line="256" w:lineRule="auto"/>
              <w:jc w:val="both"/>
              <w:rPr>
                <w:rFonts w:asciiTheme="minorHAnsi" w:eastAsiaTheme="minorEastAsia" w:hAnsiTheme="minorHAnsi" w:cstheme="minorBidi"/>
                <w:sz w:val="24"/>
                <w:szCs w:val="24"/>
              </w:rPr>
            </w:pPr>
            <w:r w:rsidRPr="29C6FEBD">
              <w:rPr>
                <w:rFonts w:asciiTheme="minorHAnsi" w:eastAsiaTheme="minorEastAsia" w:hAnsiTheme="minorHAnsi" w:cstheme="minorBidi"/>
                <w:sz w:val="24"/>
                <w:szCs w:val="24"/>
              </w:rPr>
              <w:t xml:space="preserve">Z dniem wejścia w życie ustawy przewiduje się, że system wsparcia w korzystaniu ze zdolności do czynności prawnych w postaci asysty prawnej, pełnomocnictwa wspierającego oraz pełnomocnictwa na przyszłość będzie już funkcjonował. </w:t>
            </w:r>
          </w:p>
          <w:p w14:paraId="2F53B8BB" w14:textId="77777777" w:rsidR="00FC7D95" w:rsidRPr="00B37C80" w:rsidRDefault="00FC7D95" w:rsidP="00FC7D95">
            <w:pPr>
              <w:spacing w:after="160" w:line="256" w:lineRule="auto"/>
              <w:jc w:val="both"/>
              <w:rPr>
                <w:rFonts w:asciiTheme="minorHAnsi" w:eastAsiaTheme="minorEastAsia" w:hAnsiTheme="minorHAnsi" w:cstheme="minorBidi"/>
                <w:sz w:val="24"/>
                <w:szCs w:val="24"/>
              </w:rPr>
            </w:pPr>
            <w:r w:rsidRPr="29C6FEBD">
              <w:rPr>
                <w:rFonts w:asciiTheme="minorHAnsi" w:eastAsiaTheme="minorEastAsia" w:hAnsiTheme="minorHAnsi" w:cstheme="minorBidi"/>
                <w:sz w:val="24"/>
                <w:szCs w:val="24"/>
              </w:rPr>
              <w:t xml:space="preserve">Do tego czasu osoby zainteresowane powinny zapoznać się z nową regulacją prawną tak, aby móc z niej skorzystać. Sądy powinny przygotować się na prowadzenie nowych postępowań dotyczących ustanowienia asysty prawnej i pełnomocnictwa wspierającego oraz nadzoru nad tymi formami wsparcia. Wymaga to przygotowania organizacyjnego, jak również merytorycznego przez sędziów orzekających w tych sprawach (przeprowadzenia odpowiednich szkoleń dot. nowych instrumentów wsparcia jak również przepisów w zakresie dostępności </w:t>
            </w:r>
            <w:proofErr w:type="spellStart"/>
            <w:r w:rsidRPr="29C6FEBD">
              <w:rPr>
                <w:rFonts w:asciiTheme="minorHAnsi" w:eastAsiaTheme="minorEastAsia" w:hAnsiTheme="minorHAnsi" w:cstheme="minorBidi"/>
                <w:sz w:val="24"/>
                <w:szCs w:val="24"/>
              </w:rPr>
              <w:t>procedu</w:t>
            </w:r>
            <w:proofErr w:type="spellEnd"/>
            <w:r w:rsidRPr="29C6FEBD">
              <w:rPr>
                <w:rFonts w:asciiTheme="minorHAnsi" w:eastAsiaTheme="minorEastAsia" w:hAnsiTheme="minorHAnsi" w:cstheme="minorBidi"/>
                <w:sz w:val="24"/>
                <w:szCs w:val="24"/>
              </w:rPr>
              <w:t xml:space="preserve"> dla osób z niepełnosprawnościami). </w:t>
            </w:r>
          </w:p>
          <w:p w14:paraId="39E29B90" w14:textId="77777777" w:rsidR="00FC7D95" w:rsidRPr="00B37C80" w:rsidRDefault="00FC7D95" w:rsidP="00FC7D95">
            <w:pPr>
              <w:spacing w:after="160" w:line="256" w:lineRule="auto"/>
              <w:jc w:val="both"/>
              <w:rPr>
                <w:rFonts w:asciiTheme="minorHAnsi" w:eastAsiaTheme="minorEastAsia" w:hAnsiTheme="minorHAnsi" w:cstheme="minorBidi"/>
                <w:sz w:val="24"/>
                <w:szCs w:val="24"/>
              </w:rPr>
            </w:pPr>
            <w:r w:rsidRPr="29C6FEBD">
              <w:rPr>
                <w:rFonts w:asciiTheme="minorHAnsi" w:eastAsiaTheme="minorEastAsia" w:hAnsiTheme="minorHAnsi" w:cstheme="minorBidi"/>
                <w:sz w:val="24"/>
                <w:szCs w:val="24"/>
              </w:rPr>
              <w:t xml:space="preserve">Również w dniu wejścia w życie ustawy musi być zorganizowany system prowadzenia list kandydatów na asystentów prawnych i pełnomocników wspierających w Centrach Niezależnego Życia oraz przekazywania ich do sądów. </w:t>
            </w:r>
          </w:p>
          <w:p w14:paraId="4576B94B" w14:textId="77777777" w:rsidR="00FC7D95" w:rsidRPr="00B37C80" w:rsidRDefault="00FC7D95" w:rsidP="00FC7D95">
            <w:pPr>
              <w:spacing w:after="160" w:line="256" w:lineRule="auto"/>
              <w:jc w:val="both"/>
              <w:rPr>
                <w:rFonts w:asciiTheme="minorHAnsi" w:eastAsiaTheme="minorEastAsia" w:hAnsiTheme="minorHAnsi" w:cstheme="minorBidi"/>
                <w:sz w:val="24"/>
                <w:szCs w:val="24"/>
              </w:rPr>
            </w:pPr>
            <w:r w:rsidRPr="29C6FEBD">
              <w:rPr>
                <w:rFonts w:asciiTheme="minorHAnsi" w:eastAsiaTheme="minorEastAsia" w:hAnsiTheme="minorHAnsi" w:cstheme="minorBidi"/>
                <w:sz w:val="24"/>
                <w:szCs w:val="24"/>
              </w:rPr>
              <w:t>Po wejściu w życie ustawy zostaną wydane rozporządzenia regulujące treść oświadczenia o ustanowieniu asystenta prawnego, zaświadczenia wydawanego przez sąd o ustanowieniu asystenta prawnego, jak również zaświadczenia wydawanego przez sąd o ustanowieniu pełnomocnika wspierającego.</w:t>
            </w:r>
          </w:p>
          <w:p w14:paraId="76AF4976" w14:textId="77777777" w:rsidR="00FC7D95" w:rsidRPr="00B37C80" w:rsidRDefault="00FC7D95" w:rsidP="00FC7D95">
            <w:pPr>
              <w:spacing w:after="160" w:line="256" w:lineRule="auto"/>
              <w:jc w:val="both"/>
              <w:rPr>
                <w:rFonts w:asciiTheme="minorHAnsi" w:eastAsiaTheme="minorEastAsia" w:hAnsiTheme="minorHAnsi" w:cstheme="minorBidi"/>
                <w:sz w:val="24"/>
                <w:szCs w:val="24"/>
              </w:rPr>
            </w:pPr>
            <w:r w:rsidRPr="29C6FEBD">
              <w:rPr>
                <w:rFonts w:asciiTheme="minorHAnsi" w:eastAsiaTheme="minorEastAsia" w:hAnsiTheme="minorHAnsi" w:cstheme="minorBidi"/>
                <w:sz w:val="24"/>
                <w:szCs w:val="24"/>
              </w:rPr>
              <w:t xml:space="preserve">Krajowa Rada Notarialna będzie zobowiązana do tego czasu zorganizować ogólnopolski Rejestr Pełnomocników na Przyszłość w systemie informatycznym, natomiast notariusze są obowiązaniu przygotować się na sporządzanie aktów notarialnych obejmujących pełnomocnictwo na przyszłość oraz umowę o stałej reprezentacji związaną z tym pełnomocnictwem. </w:t>
            </w:r>
          </w:p>
          <w:p w14:paraId="3DA21E31" w14:textId="77777777" w:rsidR="00FC7D95" w:rsidRPr="00B37C80" w:rsidRDefault="00FC7D95" w:rsidP="00FC7D95">
            <w:pPr>
              <w:spacing w:after="160" w:line="256" w:lineRule="auto"/>
              <w:jc w:val="both"/>
              <w:rPr>
                <w:rFonts w:asciiTheme="minorHAnsi" w:eastAsiaTheme="minorEastAsia" w:hAnsiTheme="minorHAnsi" w:cstheme="minorBidi"/>
                <w:sz w:val="24"/>
                <w:szCs w:val="24"/>
              </w:rPr>
            </w:pPr>
            <w:r w:rsidRPr="29C6FEBD">
              <w:rPr>
                <w:rFonts w:asciiTheme="minorHAnsi" w:eastAsiaTheme="minorEastAsia" w:hAnsiTheme="minorHAnsi" w:cstheme="minorBidi"/>
                <w:sz w:val="24"/>
                <w:szCs w:val="24"/>
              </w:rPr>
              <w:t>Jednocześnie z tą datą nastąpi uchylenie przepisów Kodeksu cywilnego statuujących instytucje ubezwłasnowolnienia całkowitego, ubezwłasnowolnienia częściowego, opieki nad osobą ubezwłasnowolnioną całkowicie oraz kurateli dla osoby ubezwłasnowolnionej częściowo. Również procedura dotycząca ubezwłasnowolnienia w Kodeksie postępowania cywilnego zostanie uchylona. Postępowania o ubezwłasnowolnienie wszczęte i niezakończone do dnia wejścia w życie ustawy ulega umorzeniu z mocy prawa z dniem wejścia w życie ustawy. W takim przypadku sąd z urzędu wydaje postanowienie o stwierdzeniu umorzenia postępowania z mocy prawa.</w:t>
            </w:r>
          </w:p>
          <w:p w14:paraId="0F6D0E0D" w14:textId="77777777" w:rsidR="00FC7D95" w:rsidRPr="00B37C80" w:rsidRDefault="00FC7D95" w:rsidP="00FC7D95">
            <w:pPr>
              <w:spacing w:after="160" w:line="256" w:lineRule="auto"/>
              <w:jc w:val="both"/>
              <w:rPr>
                <w:rFonts w:asciiTheme="minorHAnsi" w:eastAsiaTheme="minorEastAsia" w:hAnsiTheme="minorHAnsi" w:cstheme="minorBidi"/>
                <w:sz w:val="24"/>
                <w:szCs w:val="24"/>
              </w:rPr>
            </w:pPr>
            <w:r w:rsidRPr="29C6FEBD">
              <w:rPr>
                <w:rFonts w:asciiTheme="minorHAnsi" w:eastAsiaTheme="minorEastAsia" w:hAnsiTheme="minorHAnsi" w:cstheme="minorBidi"/>
                <w:sz w:val="24"/>
                <w:szCs w:val="24"/>
              </w:rPr>
              <w:lastRenderedPageBreak/>
              <w:t xml:space="preserve">Prawomocne postanowienia o ubezwłasnowolnieniu wydane przed dniem wejścia w życie ustawy zachowują moc po dniu wejścia w życie ustawy, jednak nie dłużej niż przez 5 lat od tego dnia. </w:t>
            </w:r>
          </w:p>
          <w:p w14:paraId="65C0D0CD" w14:textId="77777777" w:rsidR="00FC7D95" w:rsidRPr="00B37C80" w:rsidRDefault="00FC7D95" w:rsidP="00FC7D95">
            <w:pPr>
              <w:spacing w:after="160" w:line="256" w:lineRule="auto"/>
              <w:jc w:val="both"/>
              <w:rPr>
                <w:rFonts w:asciiTheme="minorHAnsi" w:eastAsiaTheme="minorEastAsia" w:hAnsiTheme="minorHAnsi" w:cstheme="minorBidi"/>
                <w:sz w:val="24"/>
                <w:szCs w:val="24"/>
              </w:rPr>
            </w:pPr>
            <w:r w:rsidRPr="29C6FEBD">
              <w:rPr>
                <w:rFonts w:asciiTheme="minorHAnsi" w:eastAsiaTheme="minorEastAsia" w:hAnsiTheme="minorHAnsi" w:cstheme="minorBidi"/>
                <w:sz w:val="24"/>
                <w:szCs w:val="24"/>
              </w:rPr>
              <w:t>W tym okresie opiekun prawny albo kurator ustanowiony dla osoby ubezwłasnowolnionej jest obowiązany złożyć do sądu, bez zbędnej zwłoki, wniosek o ustanowienie asystenta prawnego albo pełnomocnika wspierającego dla reprezentowanej przez siebie osoby albo przekazać temu sądowi umowę o asystę prawną zawartą przez tę osobę. Na zasadach ogólnych ma on również możliwość złożenia wniosku o uchylenie ubezwłasnowolnienia całkowitego lub częściowego. Poza tym, z wnioskiem w przedmiocie ustanowienia asysty prawnej lub pełnomocnictwa wspierającego może również wystąpić prokurator lub organizacja pozarządowa. Przewiduje się również działanie sądu z urzędu.</w:t>
            </w:r>
          </w:p>
          <w:p w14:paraId="31173EA3" w14:textId="77777777" w:rsidR="00FC7D95" w:rsidRPr="00B37C80" w:rsidRDefault="00FC7D95" w:rsidP="00FC7D95">
            <w:pPr>
              <w:spacing w:after="160" w:line="256" w:lineRule="auto"/>
              <w:jc w:val="both"/>
              <w:rPr>
                <w:rFonts w:asciiTheme="minorHAnsi" w:eastAsiaTheme="minorEastAsia" w:hAnsiTheme="minorHAnsi" w:cstheme="minorBidi"/>
                <w:sz w:val="24"/>
                <w:szCs w:val="24"/>
              </w:rPr>
            </w:pPr>
            <w:r w:rsidRPr="29C6FEBD">
              <w:rPr>
                <w:rFonts w:asciiTheme="minorHAnsi" w:eastAsiaTheme="minorEastAsia" w:hAnsiTheme="minorHAnsi" w:cstheme="minorBidi"/>
                <w:sz w:val="24"/>
                <w:szCs w:val="24"/>
              </w:rPr>
              <w:t>Uprawomocnienie się postanowienia sądu o ustanowieniu asystenta prawnego albo pełnomocnika wspierającego albo postanowienia o oddaleniu wniosku o ustanowienie asystenta prawnego albo pełnomocnika wspierającego ze względu na brak podstaw dla ich ustanowienia skutkować ma wygaśnięciem z mocy prawa ubezwłasnowolnienia, a także ustaniem z mocy prawa opieki albo kurateli. W takim przypadku sąd z urzędu wydaje postanowienie stwierdzające wygaśnięcie ubezwłasnowolnienia, a sąd opiekuńczy - postanowienie o stwierdzeniu ustania opieki albo kurateli.</w:t>
            </w:r>
          </w:p>
          <w:p w14:paraId="63CAB7D9" w14:textId="77777777" w:rsidR="00FC7D95" w:rsidRPr="00B37C80" w:rsidRDefault="00FC7D95" w:rsidP="00FC7D95">
            <w:pPr>
              <w:spacing w:after="160" w:line="256" w:lineRule="auto"/>
              <w:jc w:val="both"/>
              <w:rPr>
                <w:rFonts w:asciiTheme="minorHAnsi" w:eastAsiaTheme="minorEastAsia" w:hAnsiTheme="minorHAnsi" w:cstheme="minorBidi"/>
                <w:sz w:val="24"/>
                <w:szCs w:val="24"/>
              </w:rPr>
            </w:pPr>
            <w:r w:rsidRPr="29C6FEBD">
              <w:rPr>
                <w:rFonts w:asciiTheme="minorHAnsi" w:eastAsiaTheme="minorEastAsia" w:hAnsiTheme="minorHAnsi" w:cstheme="minorBidi"/>
                <w:sz w:val="24"/>
                <w:szCs w:val="24"/>
              </w:rPr>
              <w:t xml:space="preserve">W </w:t>
            </w:r>
            <w:proofErr w:type="gramStart"/>
            <w:r w:rsidRPr="29C6FEBD">
              <w:rPr>
                <w:rFonts w:asciiTheme="minorHAnsi" w:eastAsiaTheme="minorEastAsia" w:hAnsiTheme="minorHAnsi" w:cstheme="minorBidi"/>
                <w:sz w:val="24"/>
                <w:szCs w:val="24"/>
              </w:rPr>
              <w:t>przypadku</w:t>
            </w:r>
            <w:proofErr w:type="gramEnd"/>
            <w:r w:rsidRPr="29C6FEBD">
              <w:rPr>
                <w:rFonts w:asciiTheme="minorHAnsi" w:eastAsiaTheme="minorEastAsia" w:hAnsiTheme="minorHAnsi" w:cstheme="minorBidi"/>
                <w:sz w:val="24"/>
                <w:szCs w:val="24"/>
              </w:rPr>
              <w:t xml:space="preserve"> gdy sądowi przekazano umowę o asystę prawną, sąd ten uchyla niezwłocznie postanowienie o ubezwłasnowolnieniu, a sąd opiekuńczy uchyla postanowienie o ustanowieniu opiekuna albo kuratora. </w:t>
            </w:r>
          </w:p>
          <w:p w14:paraId="72FBE85B" w14:textId="77777777" w:rsidR="00FC7D95" w:rsidRPr="00B37C80" w:rsidRDefault="00FC7D95" w:rsidP="00FC7D95">
            <w:pPr>
              <w:spacing w:after="160" w:line="256" w:lineRule="auto"/>
              <w:jc w:val="both"/>
              <w:rPr>
                <w:rFonts w:asciiTheme="minorHAnsi" w:eastAsiaTheme="minorEastAsia" w:hAnsiTheme="minorHAnsi" w:cstheme="minorBidi"/>
                <w:sz w:val="24"/>
                <w:szCs w:val="24"/>
              </w:rPr>
            </w:pPr>
            <w:r w:rsidRPr="29C6FEBD">
              <w:rPr>
                <w:rFonts w:asciiTheme="minorHAnsi" w:eastAsiaTheme="minorEastAsia" w:hAnsiTheme="minorHAnsi" w:cstheme="minorBidi"/>
                <w:sz w:val="24"/>
                <w:szCs w:val="24"/>
              </w:rPr>
              <w:t xml:space="preserve">Przepisy przejściowe mają na celu stopniowe uchylenie istniejących ubezwłasnowolnień całkowitych i częściowych. Ma to nastąpić przez składanie wniosków o ich uchylenie w dotychczas obowiązującej procedurze albo łącznie z ustanoweniem jednej z nowych form wsparcia w korzystaniu ze zdolności do czynności prawnych, a mianowicie asysty prawnej (na podstawie umowy lub orzeczenia sądu) albo pełnomocnictwa wspierającego (na podstawie orzeczenia sądu). </w:t>
            </w:r>
          </w:p>
          <w:p w14:paraId="450DD3CF" w14:textId="77777777" w:rsidR="00FC7D95" w:rsidRPr="00B37C80" w:rsidRDefault="00FC7D95" w:rsidP="00FC7D95">
            <w:pPr>
              <w:spacing w:after="160" w:line="256" w:lineRule="auto"/>
              <w:jc w:val="both"/>
              <w:rPr>
                <w:rFonts w:asciiTheme="minorHAnsi" w:eastAsiaTheme="minorEastAsia" w:hAnsiTheme="minorHAnsi" w:cstheme="minorBidi"/>
                <w:sz w:val="24"/>
                <w:szCs w:val="24"/>
              </w:rPr>
            </w:pPr>
            <w:r w:rsidRPr="29C6FEBD">
              <w:rPr>
                <w:rFonts w:asciiTheme="minorHAnsi" w:eastAsiaTheme="minorEastAsia" w:hAnsiTheme="minorHAnsi" w:cstheme="minorBidi"/>
                <w:sz w:val="24"/>
                <w:szCs w:val="24"/>
              </w:rPr>
              <w:t xml:space="preserve">A zatem osoby dotychczas ubezwłasnowolnione odzyskają pełną zdolność do czynności prawnych, a jeżeli będzie istniała taka potrzeba i taka będzie ich decyzja skorzystają z nowych form wsparcia. </w:t>
            </w:r>
          </w:p>
          <w:p w14:paraId="3E8383A4" w14:textId="77777777" w:rsidR="00FC7D95" w:rsidRPr="00B37C80" w:rsidRDefault="00FC7D95" w:rsidP="00FC7D95">
            <w:pPr>
              <w:jc w:val="both"/>
              <w:rPr>
                <w:rFonts w:asciiTheme="minorHAnsi" w:eastAsiaTheme="minorEastAsia" w:hAnsiTheme="minorHAnsi" w:cstheme="minorBidi"/>
                <w:sz w:val="24"/>
                <w:szCs w:val="24"/>
              </w:rPr>
            </w:pPr>
            <w:r w:rsidRPr="29C6FEBD">
              <w:rPr>
                <w:rFonts w:asciiTheme="minorHAnsi" w:eastAsiaTheme="minorEastAsia" w:hAnsiTheme="minorHAnsi" w:cstheme="minorBidi"/>
                <w:sz w:val="24"/>
                <w:szCs w:val="24"/>
              </w:rPr>
              <w:t>W przypadku opieki nad osobą ubezwłasnowolnioną całkowicie ustanowionej przed dniem wejścia w życie ustawy stosuje się nadal przepisy Kodeksu rodzinnego i opiekuńczego do czasu jej wygaśnięcia. Podobnie w przypadku kurateli dla osoby ubezwłasnowolnionej częściowo ustanowionej przed dniem wejścia w życie ustawy stosuje się nadal przepisy Kodeksu rodzinnego i opiekuńczego do czasu jej wygaśnięcia. Po ustaniu opieki i kurateli stosuje się art. 171-174 ustawy – Kodeks rodzinny i opiekuńczy stosuje się.</w:t>
            </w:r>
          </w:p>
          <w:p w14:paraId="565E0371" w14:textId="77777777" w:rsidR="00FC7D95" w:rsidRPr="00B37C80" w:rsidRDefault="00FC7D95" w:rsidP="00FC7D95">
            <w:pPr>
              <w:jc w:val="both"/>
              <w:rPr>
                <w:rFonts w:asciiTheme="minorHAnsi" w:eastAsiaTheme="minorEastAsia" w:hAnsiTheme="minorHAnsi" w:cstheme="minorBidi"/>
                <w:sz w:val="24"/>
                <w:szCs w:val="24"/>
              </w:rPr>
            </w:pPr>
          </w:p>
          <w:p w14:paraId="6FB6F039" w14:textId="77777777" w:rsidR="00FC7D95" w:rsidRPr="00B37C80" w:rsidRDefault="00FC7D95" w:rsidP="00FC7D95">
            <w:pPr>
              <w:jc w:val="both"/>
              <w:rPr>
                <w:rFonts w:asciiTheme="minorHAnsi" w:eastAsiaTheme="minorEastAsia" w:hAnsiTheme="minorHAnsi" w:cstheme="minorBidi"/>
                <w:sz w:val="24"/>
                <w:szCs w:val="24"/>
              </w:rPr>
            </w:pPr>
            <w:r w:rsidRPr="29C6FEBD">
              <w:rPr>
                <w:rFonts w:asciiTheme="minorHAnsi" w:eastAsiaTheme="minorEastAsia" w:hAnsiTheme="minorHAnsi" w:cstheme="minorBidi"/>
                <w:sz w:val="24"/>
                <w:szCs w:val="24"/>
              </w:rPr>
              <w:t>W przepisach przejściowych przewidziano również reguły dotyczące innych skutków ubezwłasnowolnieni, w tym dotyczące ustroju majątkowego małżonków, wytoczenia powództwa o zaprzeczenie ojcostwa po wygaśnięciu ubezwłasnowolnienia oraz postępowania o unieważnienie małżeństwa z powodu ubezwłasnowolnienia.</w:t>
            </w:r>
          </w:p>
          <w:p w14:paraId="582AA34E" w14:textId="77777777" w:rsidR="00FC7D95" w:rsidRPr="00B37C80" w:rsidRDefault="00FC7D95" w:rsidP="00FC7D95">
            <w:pPr>
              <w:jc w:val="both"/>
              <w:rPr>
                <w:rFonts w:asciiTheme="minorHAnsi" w:eastAsiaTheme="minorEastAsia" w:hAnsiTheme="minorHAnsi" w:cstheme="minorBidi"/>
                <w:sz w:val="24"/>
                <w:szCs w:val="24"/>
              </w:rPr>
            </w:pPr>
          </w:p>
          <w:p w14:paraId="76C7D70D" w14:textId="77777777" w:rsidR="00FC7D95" w:rsidRPr="00B37C80" w:rsidRDefault="00FC7D95" w:rsidP="00FC7D95">
            <w:pPr>
              <w:spacing w:after="160" w:line="256" w:lineRule="auto"/>
              <w:jc w:val="both"/>
              <w:rPr>
                <w:rFonts w:asciiTheme="minorHAnsi" w:eastAsiaTheme="minorEastAsia" w:hAnsiTheme="minorHAnsi" w:cstheme="minorBidi"/>
                <w:sz w:val="24"/>
                <w:szCs w:val="24"/>
              </w:rPr>
            </w:pPr>
            <w:r w:rsidRPr="29C6FEBD">
              <w:rPr>
                <w:rFonts w:asciiTheme="minorHAnsi" w:eastAsiaTheme="minorEastAsia" w:hAnsiTheme="minorHAnsi" w:cstheme="minorBidi"/>
                <w:sz w:val="24"/>
                <w:szCs w:val="24"/>
              </w:rPr>
              <w:t>Z dniem wejścia w życie uchylana jest również instytucja kuratora dla osoby niepełnosprawnej (</w:t>
            </w:r>
            <w:proofErr w:type="gramStart"/>
            <w:r w:rsidRPr="29C6FEBD">
              <w:rPr>
                <w:rFonts w:asciiTheme="minorHAnsi" w:eastAsiaTheme="minorEastAsia" w:hAnsiTheme="minorHAnsi" w:cstheme="minorBidi"/>
                <w:sz w:val="24"/>
                <w:szCs w:val="24"/>
              </w:rPr>
              <w:t>art..</w:t>
            </w:r>
            <w:proofErr w:type="gramEnd"/>
            <w:r w:rsidRPr="29C6FEBD">
              <w:rPr>
                <w:rFonts w:asciiTheme="minorHAnsi" w:eastAsiaTheme="minorEastAsia" w:hAnsiTheme="minorHAnsi" w:cstheme="minorBidi"/>
                <w:sz w:val="24"/>
                <w:szCs w:val="24"/>
              </w:rPr>
              <w:t xml:space="preserve"> 183 Kodeksu rodzinnego i opiekuńczego, art. 600 Kodeksu postępowania cywilnego). Instytucja ta jest zbędna w kontekście funkcjonowania nowych instrumentów wsparcia. </w:t>
            </w:r>
          </w:p>
          <w:p w14:paraId="6B920741" w14:textId="77777777" w:rsidR="00FC7D95" w:rsidRPr="00B37C80" w:rsidRDefault="00FC7D95" w:rsidP="00FC7D95">
            <w:pPr>
              <w:spacing w:after="160" w:line="256" w:lineRule="auto"/>
              <w:jc w:val="both"/>
              <w:rPr>
                <w:rFonts w:asciiTheme="minorHAnsi" w:eastAsiaTheme="minorEastAsia" w:hAnsiTheme="minorHAnsi" w:cstheme="minorBidi"/>
                <w:sz w:val="24"/>
                <w:szCs w:val="24"/>
              </w:rPr>
            </w:pPr>
            <w:r w:rsidRPr="29C6FEBD">
              <w:rPr>
                <w:rFonts w:asciiTheme="minorHAnsi" w:eastAsiaTheme="minorEastAsia" w:hAnsiTheme="minorHAnsi" w:cstheme="minorBidi"/>
                <w:sz w:val="24"/>
                <w:szCs w:val="24"/>
              </w:rPr>
              <w:t>Postępowanie o ustanowienie kuratora dla osoby niepełnosprawnej wszczęte i niezakończone do dnia wejścia w życie ustawy ulega umorzeniu z mocy prawa z dniem wejścia w życie ustawy. W takim przypadku sąd z urzędu wydaje postanowienie o stwierdzeniu umorzenia postępowania z mocy prawa.</w:t>
            </w:r>
          </w:p>
          <w:p w14:paraId="5C2D3A6E" w14:textId="77777777" w:rsidR="00FC7D95" w:rsidRPr="00B37C80" w:rsidRDefault="00FC7D95" w:rsidP="00FC7D95">
            <w:pPr>
              <w:spacing w:after="160" w:line="256" w:lineRule="auto"/>
              <w:jc w:val="both"/>
              <w:rPr>
                <w:rFonts w:asciiTheme="minorHAnsi" w:eastAsiaTheme="minorEastAsia" w:hAnsiTheme="minorHAnsi" w:cstheme="minorBidi"/>
                <w:sz w:val="24"/>
                <w:szCs w:val="24"/>
              </w:rPr>
            </w:pPr>
            <w:r w:rsidRPr="29C6FEBD">
              <w:rPr>
                <w:rFonts w:asciiTheme="minorHAnsi" w:eastAsiaTheme="minorEastAsia" w:hAnsiTheme="minorHAnsi" w:cstheme="minorBidi"/>
                <w:sz w:val="24"/>
                <w:szCs w:val="24"/>
              </w:rPr>
              <w:lastRenderedPageBreak/>
              <w:t>Prawomocne postanowienia o ustanowieniu kuratora dla osoby niepełnosprawnej wydane przed dniem wejścia w życie ustawy zachowują moc po dniu wejścia w życie ustawy, jednak nie dłużej niż przez 5 lat od tego dnia.</w:t>
            </w:r>
          </w:p>
          <w:p w14:paraId="4E276481" w14:textId="77777777" w:rsidR="00FC7D95" w:rsidRPr="00B37C80" w:rsidRDefault="00FC7D95" w:rsidP="00FC7D95">
            <w:pPr>
              <w:spacing w:after="160" w:line="256" w:lineRule="auto"/>
              <w:jc w:val="both"/>
              <w:rPr>
                <w:rFonts w:asciiTheme="minorHAnsi" w:eastAsiaTheme="minorEastAsia" w:hAnsiTheme="minorHAnsi" w:cstheme="minorBidi"/>
                <w:sz w:val="24"/>
                <w:szCs w:val="24"/>
              </w:rPr>
            </w:pPr>
            <w:r w:rsidRPr="29C6FEBD">
              <w:rPr>
                <w:rFonts w:asciiTheme="minorHAnsi" w:eastAsiaTheme="minorEastAsia" w:hAnsiTheme="minorHAnsi" w:cstheme="minorBidi"/>
                <w:sz w:val="24"/>
                <w:szCs w:val="24"/>
              </w:rPr>
              <w:t>W tym okresie, kurator ustanowiony dla osoby niepełnosprawnej jest obowiązany złożyć do sądu, bez zbędnej zwłoki, wniosek o ustanowienie dla tej osoby asystenta prawnego albo pełnomocnika wspierającego dla osoby albo przekazać temu sądowi umowę o asystę prawną zawartą przez tą osobę. Na zasadach ogólnych ma on również możliwość złożenia wniosku o uchylenie ubezwłasnowolnienia całkowitego lub częściowego. Poza tym, z wnioskiem w przedmiocie ustanowienia asysty prawnej lub pełnomocnictwa wspierającego może również wystąpić prokurator lub organizacja pozarządowa. Przewiduje się również działanie sądu z urzędu.</w:t>
            </w:r>
          </w:p>
          <w:p w14:paraId="58477AD5" w14:textId="77777777" w:rsidR="00FC7D95" w:rsidRPr="00B37C80" w:rsidRDefault="00FC7D95" w:rsidP="00FC7D95">
            <w:pPr>
              <w:spacing w:after="160" w:line="256" w:lineRule="auto"/>
              <w:jc w:val="both"/>
              <w:rPr>
                <w:rFonts w:asciiTheme="minorHAnsi" w:eastAsiaTheme="minorEastAsia" w:hAnsiTheme="minorHAnsi" w:cstheme="minorBidi"/>
                <w:sz w:val="24"/>
                <w:szCs w:val="24"/>
              </w:rPr>
            </w:pPr>
            <w:r w:rsidRPr="29C6FEBD">
              <w:rPr>
                <w:rFonts w:asciiTheme="minorHAnsi" w:eastAsiaTheme="minorEastAsia" w:hAnsiTheme="minorHAnsi" w:cstheme="minorBidi"/>
                <w:sz w:val="24"/>
                <w:szCs w:val="24"/>
              </w:rPr>
              <w:t>Uprawomocnienie się postanowienia sądu o ustanowieniu asystenta prawnego albo pełnomocnika wspierającego albo postanowienia o oddaleniu wniosku o ustanowienie asystenta prawnego albo pełnomocnika wspierającego ze względu na brak podstaw dla ich ustanowienia skutkować ma wygaśnięciem z mocy prawa ubezwłasnowolnienia, a także ustaniem z mocy prawa opieki albo kurateli. W takim przypadku sąd z urzędu wydaje postanowienie stwierdzające wygaśnięcie ubezwłasnowolnienia, a sąd opiekuńczy - postanowienie o stwierdzeniu ustania opieki albo kurateli.</w:t>
            </w:r>
          </w:p>
          <w:p w14:paraId="494032A4" w14:textId="77777777" w:rsidR="00FC7D95" w:rsidRPr="00B37C80" w:rsidRDefault="00FC7D95" w:rsidP="00FC7D95">
            <w:pPr>
              <w:spacing w:after="160" w:line="256" w:lineRule="auto"/>
              <w:jc w:val="both"/>
              <w:rPr>
                <w:rFonts w:asciiTheme="minorHAnsi" w:eastAsiaTheme="minorEastAsia" w:hAnsiTheme="minorHAnsi" w:cstheme="minorBidi"/>
                <w:sz w:val="24"/>
                <w:szCs w:val="24"/>
              </w:rPr>
            </w:pPr>
            <w:r w:rsidRPr="29C6FEBD">
              <w:rPr>
                <w:rFonts w:asciiTheme="minorHAnsi" w:eastAsiaTheme="minorEastAsia" w:hAnsiTheme="minorHAnsi" w:cstheme="minorBidi"/>
                <w:sz w:val="24"/>
                <w:szCs w:val="24"/>
              </w:rPr>
              <w:t xml:space="preserve">W </w:t>
            </w:r>
            <w:proofErr w:type="gramStart"/>
            <w:r w:rsidRPr="29C6FEBD">
              <w:rPr>
                <w:rFonts w:asciiTheme="minorHAnsi" w:eastAsiaTheme="minorEastAsia" w:hAnsiTheme="minorHAnsi" w:cstheme="minorBidi"/>
                <w:sz w:val="24"/>
                <w:szCs w:val="24"/>
              </w:rPr>
              <w:t>przypadku</w:t>
            </w:r>
            <w:proofErr w:type="gramEnd"/>
            <w:r w:rsidRPr="29C6FEBD">
              <w:rPr>
                <w:rFonts w:asciiTheme="minorHAnsi" w:eastAsiaTheme="minorEastAsia" w:hAnsiTheme="minorHAnsi" w:cstheme="minorBidi"/>
                <w:sz w:val="24"/>
                <w:szCs w:val="24"/>
              </w:rPr>
              <w:t xml:space="preserve"> gdy sądowi przekazano umowę o asystę prawną, sąd ten uchyla niezwłocznie postanowienie o ubezwłasnowolnieniu, a sąd opiekuńczy uchyla postanowienie o ustanowieniu opiekuna albo kuratora. </w:t>
            </w:r>
          </w:p>
          <w:p w14:paraId="3EE3A1AF" w14:textId="77777777" w:rsidR="00FC7D95" w:rsidRPr="00B37C80" w:rsidRDefault="00FC7D95" w:rsidP="00FC7D95">
            <w:pPr>
              <w:spacing w:after="120" w:line="240" w:lineRule="auto"/>
              <w:ind w:left="360"/>
              <w:jc w:val="both"/>
              <w:rPr>
                <w:rFonts w:asciiTheme="minorHAnsi" w:eastAsiaTheme="minorEastAsia" w:hAnsiTheme="minorHAnsi" w:cstheme="minorBidi"/>
                <w:spacing w:val="-2"/>
                <w:sz w:val="24"/>
                <w:szCs w:val="24"/>
              </w:rPr>
            </w:pPr>
          </w:p>
          <w:p w14:paraId="6CEB15CE" w14:textId="77777777" w:rsidR="00FC7D95" w:rsidRPr="00B37C80" w:rsidRDefault="00FC7D95" w:rsidP="00FC7D95">
            <w:pPr>
              <w:spacing w:line="240" w:lineRule="auto"/>
              <w:jc w:val="both"/>
              <w:rPr>
                <w:rFonts w:ascii="Times New Roman" w:hAnsi="Times New Roman"/>
                <w:spacing w:val="-2"/>
              </w:rPr>
            </w:pPr>
          </w:p>
        </w:tc>
      </w:tr>
      <w:tr w:rsidR="00FC7D95" w:rsidRPr="008B4FE6" w14:paraId="63954F6B" w14:textId="77777777" w:rsidTr="003A573A">
        <w:trPr>
          <w:trHeight w:val="142"/>
        </w:trPr>
        <w:tc>
          <w:tcPr>
            <w:tcW w:w="5000" w:type="pct"/>
            <w:gridSpan w:val="20"/>
            <w:shd w:val="clear" w:color="auto" w:fill="99CCFF"/>
          </w:tcPr>
          <w:p w14:paraId="5191C766" w14:textId="77777777" w:rsidR="00FC7D95" w:rsidRPr="008B4FE6" w:rsidRDefault="00FC7D95" w:rsidP="00FC7D95">
            <w:pPr>
              <w:numPr>
                <w:ilvl w:val="0"/>
                <w:numId w:val="4"/>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lastRenderedPageBreak/>
              <w:t xml:space="preserve"> </w:t>
            </w:r>
            <w:r>
              <w:rPr>
                <w:rFonts w:ascii="Times New Roman" w:hAnsi="Times New Roman"/>
                <w:b/>
                <w:spacing w:val="-2"/>
                <w:sz w:val="21"/>
                <w:szCs w:val="21"/>
              </w:rPr>
              <w:t xml:space="preserve">W jaki sposób i kiedy </w:t>
            </w:r>
            <w:r w:rsidRPr="0063060B">
              <w:rPr>
                <w:rFonts w:ascii="Times New Roman" w:hAnsi="Times New Roman"/>
                <w:b/>
                <w:spacing w:val="-2"/>
                <w:sz w:val="21"/>
                <w:szCs w:val="21"/>
              </w:rPr>
              <w:t xml:space="preserve">nastąpi ewaluacja efektów projektu </w:t>
            </w:r>
            <w:r>
              <w:rPr>
                <w:rFonts w:ascii="Times New Roman" w:hAnsi="Times New Roman"/>
                <w:b/>
                <w:spacing w:val="-2"/>
                <w:sz w:val="21"/>
                <w:szCs w:val="21"/>
              </w:rPr>
              <w:t>oraz</w:t>
            </w:r>
            <w:r w:rsidRPr="0063060B">
              <w:rPr>
                <w:rFonts w:ascii="Times New Roman" w:hAnsi="Times New Roman"/>
                <w:b/>
                <w:spacing w:val="-2"/>
                <w:sz w:val="21"/>
                <w:szCs w:val="21"/>
              </w:rPr>
              <w:t xml:space="preserve"> jakie mierniki zostaną zastosowane</w:t>
            </w:r>
            <w:r>
              <w:rPr>
                <w:rFonts w:ascii="Times New Roman" w:hAnsi="Times New Roman"/>
                <w:b/>
                <w:spacing w:val="-2"/>
                <w:sz w:val="21"/>
                <w:szCs w:val="21"/>
              </w:rPr>
              <w:t>?</w:t>
            </w:r>
          </w:p>
        </w:tc>
      </w:tr>
      <w:tr w:rsidR="00FC7D95" w:rsidRPr="008B4FE6" w14:paraId="66518E39" w14:textId="77777777" w:rsidTr="003A573A">
        <w:trPr>
          <w:trHeight w:val="142"/>
        </w:trPr>
        <w:tc>
          <w:tcPr>
            <w:tcW w:w="5000" w:type="pct"/>
            <w:gridSpan w:val="20"/>
            <w:shd w:val="clear" w:color="auto" w:fill="FFFFFF" w:themeFill="background1"/>
          </w:tcPr>
          <w:p w14:paraId="778710FC" w14:textId="77777777" w:rsidR="00FC7D95" w:rsidRPr="00B37C80" w:rsidRDefault="00FC7D95" w:rsidP="00FC7D95">
            <w:pPr>
              <w:spacing w:line="240" w:lineRule="auto"/>
              <w:jc w:val="both"/>
              <w:rPr>
                <w:rFonts w:ascii="Times New Roman" w:hAnsi="Times New Roman"/>
                <w:color w:val="000000"/>
                <w:spacing w:val="-2"/>
              </w:rPr>
            </w:pPr>
          </w:p>
          <w:p w14:paraId="13A39C12" w14:textId="77777777" w:rsidR="00FC7D95" w:rsidRPr="00B37C80" w:rsidRDefault="00FC7D95" w:rsidP="00FC7D95">
            <w:pPr>
              <w:spacing w:line="240" w:lineRule="auto"/>
              <w:jc w:val="both"/>
              <w:rPr>
                <w:rFonts w:asciiTheme="minorHAnsi" w:eastAsiaTheme="minorEastAsia" w:hAnsiTheme="minorHAnsi" w:cstheme="minorBidi"/>
                <w:color w:val="000000"/>
                <w:spacing w:val="-2"/>
                <w:sz w:val="24"/>
                <w:szCs w:val="24"/>
              </w:rPr>
            </w:pPr>
            <w:r w:rsidRPr="29C6FEBD">
              <w:rPr>
                <w:rFonts w:asciiTheme="minorHAnsi" w:eastAsiaTheme="minorEastAsia" w:hAnsiTheme="minorHAnsi" w:cstheme="minorBidi"/>
                <w:color w:val="000000" w:themeColor="text1"/>
                <w:sz w:val="24"/>
                <w:szCs w:val="24"/>
              </w:rPr>
              <w:t xml:space="preserve">Ewaluacja efektów projektu nastąpi po okresie jego pełnego wdrożenia, czyli nie wcześniej niż 5 lat od dnia wejścia w życie ustawy. </w:t>
            </w:r>
          </w:p>
          <w:p w14:paraId="06A71038" w14:textId="77777777" w:rsidR="00FC7D95" w:rsidRDefault="00FC7D95" w:rsidP="00FC7D95">
            <w:pPr>
              <w:spacing w:line="240" w:lineRule="auto"/>
              <w:jc w:val="both"/>
              <w:rPr>
                <w:rFonts w:asciiTheme="minorHAnsi" w:eastAsiaTheme="minorEastAsia" w:hAnsiTheme="minorHAnsi" w:cstheme="minorBidi"/>
                <w:color w:val="000000" w:themeColor="text1"/>
                <w:sz w:val="24"/>
                <w:szCs w:val="24"/>
              </w:rPr>
            </w:pPr>
          </w:p>
          <w:p w14:paraId="5225F83A" w14:textId="77777777" w:rsidR="00FC7D95" w:rsidRDefault="00FC7D95" w:rsidP="00FC7D95">
            <w:pPr>
              <w:spacing w:line="240" w:lineRule="auto"/>
              <w:jc w:val="both"/>
              <w:rPr>
                <w:rFonts w:asciiTheme="minorHAnsi" w:eastAsiaTheme="minorEastAsia" w:hAnsiTheme="minorHAnsi" w:cstheme="minorBidi"/>
                <w:color w:val="000000" w:themeColor="text1"/>
                <w:sz w:val="24"/>
                <w:szCs w:val="24"/>
              </w:rPr>
            </w:pPr>
            <w:r w:rsidRPr="29C6FEBD">
              <w:rPr>
                <w:rFonts w:asciiTheme="minorHAnsi" w:eastAsiaTheme="minorEastAsia" w:hAnsiTheme="minorHAnsi" w:cstheme="minorBidi"/>
                <w:color w:val="000000" w:themeColor="text1"/>
                <w:sz w:val="24"/>
                <w:szCs w:val="24"/>
              </w:rPr>
              <w:t xml:space="preserve">Ewaluacja ta będzie wymagała pogłębionych badań ilościowych i jakościowych dotyczących sytuacji osób z niepełnosprawnościami, które były ubezwłasnowolnione przed dniem wejścia w życie ustawy, jak również osób z niepełnosprawnościami korzystających z nowych instrumentów wsparcia w korzystaniu ze zdolności do czynności prawnej (asysty prawnej, pełnomocnictwa wspierającego oraz pełnomocnictwa na przyszłość). </w:t>
            </w:r>
          </w:p>
          <w:p w14:paraId="15B0B8A4" w14:textId="77777777" w:rsidR="00FC7D95" w:rsidRDefault="00FC7D95" w:rsidP="00FC7D95">
            <w:pPr>
              <w:spacing w:line="240" w:lineRule="auto"/>
              <w:jc w:val="both"/>
              <w:rPr>
                <w:rFonts w:asciiTheme="minorHAnsi" w:eastAsiaTheme="minorEastAsia" w:hAnsiTheme="minorHAnsi" w:cstheme="minorBidi"/>
                <w:color w:val="000000" w:themeColor="text1"/>
                <w:sz w:val="24"/>
                <w:szCs w:val="24"/>
              </w:rPr>
            </w:pPr>
          </w:p>
          <w:p w14:paraId="37A830D0" w14:textId="77777777" w:rsidR="00FC7D95" w:rsidRDefault="00FC7D95" w:rsidP="00FC7D95">
            <w:pPr>
              <w:spacing w:line="240" w:lineRule="auto"/>
              <w:jc w:val="both"/>
              <w:rPr>
                <w:rFonts w:asciiTheme="minorHAnsi" w:eastAsiaTheme="minorEastAsia" w:hAnsiTheme="minorHAnsi" w:cstheme="minorBidi"/>
                <w:color w:val="000000" w:themeColor="text1"/>
                <w:sz w:val="24"/>
                <w:szCs w:val="24"/>
              </w:rPr>
            </w:pPr>
            <w:r w:rsidRPr="29C6FEBD">
              <w:rPr>
                <w:rFonts w:asciiTheme="minorHAnsi" w:eastAsiaTheme="minorEastAsia" w:hAnsiTheme="minorHAnsi" w:cstheme="minorBidi"/>
                <w:color w:val="000000" w:themeColor="text1"/>
                <w:sz w:val="24"/>
                <w:szCs w:val="24"/>
              </w:rPr>
              <w:t xml:space="preserve">Badania te będą wymagały ustalenia konkretnej liczby osób korzystających z poszczególnych instrumentów wsparcia, ilości postępowań nadzorczych dot. asysty prawnej i pełnomocnictwa wspierającego, jak również częstotliwości zmian asystentów prawny i pełnomocników wspierających. Dla oceny skutków projektu należałoby również zbadać, czy nastąpił wzrost ilości postpowań w przedmiocie wad oświadczeń woli. </w:t>
            </w:r>
          </w:p>
          <w:p w14:paraId="4A656F1B" w14:textId="77777777" w:rsidR="00FC7D95" w:rsidRDefault="00FC7D95" w:rsidP="00FC7D95">
            <w:pPr>
              <w:spacing w:line="240" w:lineRule="auto"/>
              <w:jc w:val="both"/>
              <w:rPr>
                <w:rFonts w:asciiTheme="minorHAnsi" w:eastAsiaTheme="minorEastAsia" w:hAnsiTheme="minorHAnsi" w:cstheme="minorBidi"/>
                <w:color w:val="000000" w:themeColor="text1"/>
                <w:sz w:val="24"/>
                <w:szCs w:val="24"/>
              </w:rPr>
            </w:pPr>
          </w:p>
          <w:p w14:paraId="30644CF4" w14:textId="77777777" w:rsidR="00FC7D95" w:rsidRDefault="00FC7D95" w:rsidP="00FC7D95">
            <w:pPr>
              <w:spacing w:line="240" w:lineRule="auto"/>
              <w:jc w:val="both"/>
              <w:rPr>
                <w:rFonts w:asciiTheme="minorHAnsi" w:eastAsiaTheme="minorEastAsia" w:hAnsiTheme="minorHAnsi" w:cstheme="minorBidi"/>
                <w:color w:val="000000" w:themeColor="text1"/>
                <w:sz w:val="24"/>
                <w:szCs w:val="24"/>
              </w:rPr>
            </w:pPr>
            <w:r w:rsidRPr="29C6FEBD">
              <w:rPr>
                <w:rFonts w:asciiTheme="minorHAnsi" w:eastAsiaTheme="minorEastAsia" w:hAnsiTheme="minorHAnsi" w:cstheme="minorBidi"/>
                <w:color w:val="000000" w:themeColor="text1"/>
                <w:sz w:val="24"/>
                <w:szCs w:val="24"/>
              </w:rPr>
              <w:t xml:space="preserve">Badania te będą również wymagały oceny sytuacji życiowej tych osób, ich aktywności życiowej w obrocie prawnym i zmian jakie nastąpiły w stosunku do okresu, kiedy były ubezwłasnowolnione (w przypadku tych osób, które były wcześniej ubezwłasnowolnione). Badania powinny również skupić się na ocenie częstotliwości naruszeń interesu osoby wspieranej przez podmiot wspierający. </w:t>
            </w:r>
          </w:p>
          <w:p w14:paraId="12E906EF" w14:textId="77777777" w:rsidR="00FC7D95" w:rsidRPr="00B37C80" w:rsidRDefault="00FC7D95" w:rsidP="00FC7D95">
            <w:pPr>
              <w:spacing w:line="240" w:lineRule="auto"/>
              <w:jc w:val="both"/>
              <w:rPr>
                <w:rFonts w:ascii="Times New Roman" w:hAnsi="Times New Roman"/>
                <w:color w:val="000000"/>
                <w:spacing w:val="-2"/>
              </w:rPr>
            </w:pPr>
          </w:p>
          <w:p w14:paraId="2191599E" w14:textId="77777777" w:rsidR="00FC7D95" w:rsidRPr="00B37C80" w:rsidRDefault="00FC7D95" w:rsidP="00FC7D95">
            <w:pPr>
              <w:spacing w:line="240" w:lineRule="auto"/>
              <w:jc w:val="both"/>
              <w:rPr>
                <w:rFonts w:ascii="Times New Roman" w:hAnsi="Times New Roman"/>
                <w:color w:val="000000"/>
                <w:spacing w:val="-2"/>
              </w:rPr>
            </w:pPr>
          </w:p>
        </w:tc>
      </w:tr>
      <w:tr w:rsidR="00FC7D95" w:rsidRPr="008B4FE6" w14:paraId="70130A9F" w14:textId="77777777" w:rsidTr="003A573A">
        <w:trPr>
          <w:trHeight w:val="142"/>
        </w:trPr>
        <w:tc>
          <w:tcPr>
            <w:tcW w:w="5000" w:type="pct"/>
            <w:gridSpan w:val="20"/>
            <w:shd w:val="clear" w:color="auto" w:fill="99CCFF"/>
          </w:tcPr>
          <w:p w14:paraId="6BA9F666" w14:textId="77777777" w:rsidR="00FC7D95" w:rsidRPr="008B4FE6" w:rsidRDefault="00FC7D95" w:rsidP="00FC7D95">
            <w:pPr>
              <w:numPr>
                <w:ilvl w:val="0"/>
                <w:numId w:val="4"/>
              </w:numPr>
              <w:spacing w:before="60" w:after="60" w:line="240" w:lineRule="auto"/>
              <w:ind w:left="318" w:hanging="284"/>
              <w:jc w:val="both"/>
              <w:rPr>
                <w:rFonts w:ascii="Times New Roman" w:hAnsi="Times New Roman"/>
                <w:b/>
                <w:color w:val="000000"/>
                <w:spacing w:val="-2"/>
              </w:rPr>
            </w:pPr>
            <w:r w:rsidRPr="008B4FE6">
              <w:rPr>
                <w:rFonts w:ascii="Times New Roman" w:hAnsi="Times New Roman"/>
                <w:b/>
                <w:color w:val="000000"/>
                <w:spacing w:val="-2"/>
              </w:rPr>
              <w:t xml:space="preserve">Załączniki </w:t>
            </w:r>
            <w:r w:rsidRPr="0063060B">
              <w:rPr>
                <w:rFonts w:ascii="Times New Roman" w:hAnsi="Times New Roman"/>
                <w:b/>
                <w:spacing w:val="-2"/>
                <w:sz w:val="21"/>
                <w:szCs w:val="21"/>
              </w:rPr>
              <w:t>(</w:t>
            </w:r>
            <w:r>
              <w:rPr>
                <w:rFonts w:ascii="Times New Roman" w:hAnsi="Times New Roman"/>
                <w:b/>
                <w:spacing w:val="-2"/>
                <w:sz w:val="21"/>
                <w:szCs w:val="21"/>
              </w:rPr>
              <w:t xml:space="preserve">istotne </w:t>
            </w:r>
            <w:r w:rsidRPr="0063060B">
              <w:rPr>
                <w:rFonts w:ascii="Times New Roman" w:hAnsi="Times New Roman"/>
                <w:b/>
                <w:spacing w:val="-2"/>
                <w:sz w:val="21"/>
                <w:szCs w:val="21"/>
              </w:rPr>
              <w:t>dokumenty źródłowe,</w:t>
            </w:r>
            <w:r>
              <w:rPr>
                <w:rFonts w:ascii="Times New Roman" w:hAnsi="Times New Roman"/>
                <w:b/>
                <w:spacing w:val="-2"/>
                <w:sz w:val="21"/>
                <w:szCs w:val="21"/>
              </w:rPr>
              <w:t xml:space="preserve"> badania, analizy itp.</w:t>
            </w:r>
            <w:r w:rsidRPr="008B4FE6">
              <w:rPr>
                <w:rFonts w:ascii="Times New Roman" w:hAnsi="Times New Roman"/>
                <w:b/>
                <w:color w:val="000000"/>
                <w:spacing w:val="-2"/>
              </w:rPr>
              <w:t xml:space="preserve">) </w:t>
            </w:r>
          </w:p>
        </w:tc>
      </w:tr>
      <w:tr w:rsidR="00FC7D95" w:rsidRPr="008B4FE6" w14:paraId="7673E5AE" w14:textId="77777777" w:rsidTr="003A573A">
        <w:trPr>
          <w:trHeight w:val="1660"/>
        </w:trPr>
        <w:tc>
          <w:tcPr>
            <w:tcW w:w="5000" w:type="pct"/>
            <w:gridSpan w:val="20"/>
            <w:shd w:val="clear" w:color="auto" w:fill="FFFFFF" w:themeFill="background1"/>
          </w:tcPr>
          <w:p w14:paraId="698D51C7" w14:textId="4796D937" w:rsidR="00FC7D95" w:rsidRDefault="00FC7D95" w:rsidP="00FC7D95">
            <w:pPr>
              <w:spacing w:line="240" w:lineRule="auto"/>
              <w:jc w:val="both"/>
              <w:rPr>
                <w:rFonts w:ascii="Times New Roman" w:hAnsi="Times New Roman"/>
                <w:i/>
                <w:iCs/>
                <w:color w:val="000000" w:themeColor="text1"/>
              </w:rPr>
            </w:pPr>
          </w:p>
          <w:p w14:paraId="5AB7C0C5" w14:textId="77777777" w:rsidR="00FC7D95" w:rsidRPr="00B37C80" w:rsidRDefault="00FC7D95" w:rsidP="00FC7D95">
            <w:pPr>
              <w:spacing w:line="240" w:lineRule="auto"/>
              <w:jc w:val="both"/>
              <w:rPr>
                <w:rFonts w:ascii="Times New Roman" w:hAnsi="Times New Roman"/>
                <w:color w:val="000000"/>
                <w:spacing w:val="-2"/>
              </w:rPr>
            </w:pPr>
          </w:p>
          <w:p w14:paraId="1C2776EB" w14:textId="77777777" w:rsidR="00FC7D95" w:rsidRPr="00B37C80" w:rsidRDefault="00FC7D95" w:rsidP="00FC7D95">
            <w:pPr>
              <w:spacing w:line="240" w:lineRule="auto"/>
              <w:jc w:val="both"/>
              <w:rPr>
                <w:rFonts w:ascii="Times New Roman" w:hAnsi="Times New Roman"/>
                <w:color w:val="000000"/>
                <w:spacing w:val="-2"/>
              </w:rPr>
            </w:pPr>
          </w:p>
        </w:tc>
      </w:tr>
    </w:tbl>
    <w:p w14:paraId="736B25C7" w14:textId="77777777" w:rsidR="006176ED" w:rsidRPr="00522D94" w:rsidRDefault="00C540BC" w:rsidP="006176ED">
      <w:pPr>
        <w:pStyle w:val="Nagwek1"/>
        <w:jc w:val="center"/>
        <w:rPr>
          <w:rFonts w:ascii="Times New Roman" w:hAnsi="Times New Roman" w:cs="Times New Roman"/>
          <w:sz w:val="20"/>
          <w:szCs w:val="20"/>
        </w:rPr>
      </w:pPr>
      <w:r>
        <w:rPr>
          <w:rFonts w:ascii="Times New Roman" w:hAnsi="Times New Roman" w:cs="Times New Roman"/>
          <w:sz w:val="20"/>
          <w:szCs w:val="20"/>
        </w:rPr>
        <w:br w:type="page"/>
      </w:r>
      <w:r w:rsidR="006176ED" w:rsidRPr="00522D94">
        <w:rPr>
          <w:rFonts w:ascii="Times New Roman" w:hAnsi="Times New Roman" w:cs="Times New Roman"/>
          <w:sz w:val="20"/>
          <w:szCs w:val="20"/>
        </w:rPr>
        <w:lastRenderedPageBreak/>
        <w:t xml:space="preserve">Wyjaśnienia do </w:t>
      </w:r>
      <w:r w:rsidR="006176ED" w:rsidRPr="00522D94">
        <w:rPr>
          <w:rFonts w:ascii="Times New Roman" w:hAnsi="Times New Roman" w:cs="Times New Roman"/>
          <w:sz w:val="20"/>
          <w:szCs w:val="20"/>
        </w:rPr>
        <w:br/>
        <w:t>formularza oceny skutków regulacji</w:t>
      </w:r>
    </w:p>
    <w:p w14:paraId="15342E60" w14:textId="77777777" w:rsidR="006176ED" w:rsidRPr="00522D94" w:rsidRDefault="006176ED" w:rsidP="006176ED">
      <w:pPr>
        <w:rPr>
          <w:rFonts w:ascii="Times New Roman" w:hAnsi="Times New Roman"/>
          <w:sz w:val="20"/>
          <w:szCs w:val="20"/>
          <w:lang w:eastAsia="pl-PL"/>
        </w:rPr>
      </w:pPr>
    </w:p>
    <w:p w14:paraId="635552B4" w14:textId="77777777" w:rsidR="00522D94" w:rsidRPr="00522D94" w:rsidRDefault="00522D94" w:rsidP="00522D94">
      <w:pPr>
        <w:numPr>
          <w:ilvl w:val="0"/>
          <w:numId w:val="9"/>
        </w:numPr>
        <w:spacing w:after="120" w:line="240" w:lineRule="auto"/>
        <w:jc w:val="both"/>
        <w:rPr>
          <w:rFonts w:ascii="Times New Roman" w:hAnsi="Times New Roman"/>
          <w:b/>
          <w:sz w:val="20"/>
          <w:szCs w:val="20"/>
        </w:rPr>
      </w:pPr>
      <w:r w:rsidRPr="00522D94">
        <w:rPr>
          <w:rFonts w:ascii="Times New Roman" w:hAnsi="Times New Roman"/>
          <w:b/>
          <w:sz w:val="20"/>
          <w:szCs w:val="20"/>
        </w:rPr>
        <w:t>Metryczka</w:t>
      </w:r>
    </w:p>
    <w:p w14:paraId="59F7E18C" w14:textId="77777777" w:rsidR="00522D94" w:rsidRPr="00522D94" w:rsidRDefault="00522D94" w:rsidP="00522D94">
      <w:pPr>
        <w:spacing w:after="120"/>
        <w:jc w:val="both"/>
        <w:rPr>
          <w:rFonts w:ascii="Times New Roman" w:hAnsi="Times New Roman"/>
          <w:sz w:val="20"/>
          <w:szCs w:val="20"/>
        </w:rPr>
      </w:pPr>
      <w:r w:rsidRPr="00522D94">
        <w:rPr>
          <w:rFonts w:ascii="Times New Roman" w:hAnsi="Times New Roman"/>
          <w:sz w:val="20"/>
          <w:szCs w:val="20"/>
        </w:rPr>
        <w:t xml:space="preserve">W niniejszej części należy podać podstawowe informacje na temat </w:t>
      </w:r>
      <w:r w:rsidR="002172F1">
        <w:rPr>
          <w:rFonts w:ascii="Times New Roman" w:hAnsi="Times New Roman"/>
          <w:sz w:val="20"/>
          <w:szCs w:val="20"/>
        </w:rPr>
        <w:t>oceny skutków regulacji</w:t>
      </w:r>
      <w:r w:rsidRPr="00522D94">
        <w:rPr>
          <w:rFonts w:ascii="Times New Roman" w:hAnsi="Times New Roman"/>
          <w:sz w:val="20"/>
          <w:szCs w:val="20"/>
        </w:rPr>
        <w:t>:</w:t>
      </w:r>
    </w:p>
    <w:p w14:paraId="51356DD8" w14:textId="77777777" w:rsidR="00C004B6" w:rsidRDefault="00C004B6" w:rsidP="00C004B6">
      <w:pPr>
        <w:numPr>
          <w:ilvl w:val="0"/>
          <w:numId w:val="16"/>
        </w:numPr>
        <w:spacing w:after="120" w:line="240" w:lineRule="auto"/>
        <w:jc w:val="both"/>
        <w:rPr>
          <w:rFonts w:ascii="Times New Roman" w:hAnsi="Times New Roman"/>
          <w:sz w:val="20"/>
          <w:szCs w:val="20"/>
        </w:rPr>
      </w:pPr>
      <w:r>
        <w:rPr>
          <w:rFonts w:ascii="Times New Roman" w:hAnsi="Times New Roman"/>
          <w:sz w:val="20"/>
          <w:szCs w:val="20"/>
        </w:rPr>
        <w:t xml:space="preserve">Nazwa </w:t>
      </w:r>
      <w:r w:rsidR="001B75D8">
        <w:rPr>
          <w:rFonts w:ascii="Times New Roman" w:hAnsi="Times New Roman"/>
          <w:sz w:val="20"/>
          <w:szCs w:val="20"/>
        </w:rPr>
        <w:t>projektu</w:t>
      </w:r>
      <w:r>
        <w:rPr>
          <w:rFonts w:ascii="Times New Roman" w:hAnsi="Times New Roman"/>
          <w:sz w:val="20"/>
          <w:szCs w:val="20"/>
        </w:rPr>
        <w:t xml:space="preserve">: </w:t>
      </w:r>
    </w:p>
    <w:p w14:paraId="7177D9B4" w14:textId="77777777" w:rsidR="00C004B6" w:rsidRPr="00522D94" w:rsidRDefault="00C004B6" w:rsidP="00C004B6">
      <w:pPr>
        <w:spacing w:after="120" w:line="240" w:lineRule="auto"/>
        <w:ind w:left="420"/>
        <w:jc w:val="both"/>
        <w:rPr>
          <w:rFonts w:ascii="Times New Roman" w:hAnsi="Times New Roman"/>
          <w:sz w:val="20"/>
          <w:szCs w:val="20"/>
        </w:rPr>
      </w:pPr>
      <w:r>
        <w:rPr>
          <w:rFonts w:ascii="Times New Roman" w:hAnsi="Times New Roman"/>
          <w:sz w:val="20"/>
          <w:szCs w:val="20"/>
        </w:rPr>
        <w:t>Proszę podać np. wstępny tytuł projektu</w:t>
      </w:r>
      <w:r w:rsidR="00337DD2">
        <w:rPr>
          <w:rFonts w:ascii="Times New Roman" w:hAnsi="Times New Roman"/>
          <w:sz w:val="20"/>
          <w:szCs w:val="20"/>
        </w:rPr>
        <w:t xml:space="preserve"> wpisan</w:t>
      </w:r>
      <w:r w:rsidR="002172F1">
        <w:rPr>
          <w:rFonts w:ascii="Times New Roman" w:hAnsi="Times New Roman"/>
          <w:sz w:val="20"/>
          <w:szCs w:val="20"/>
        </w:rPr>
        <w:t>y</w:t>
      </w:r>
      <w:r w:rsidR="00337DD2">
        <w:rPr>
          <w:rFonts w:ascii="Times New Roman" w:hAnsi="Times New Roman"/>
          <w:sz w:val="20"/>
          <w:szCs w:val="20"/>
        </w:rPr>
        <w:t xml:space="preserve"> do </w:t>
      </w:r>
      <w:r w:rsidR="00BB0DCA">
        <w:rPr>
          <w:rFonts w:ascii="Times New Roman" w:hAnsi="Times New Roman"/>
          <w:sz w:val="20"/>
          <w:szCs w:val="20"/>
        </w:rPr>
        <w:t>w</w:t>
      </w:r>
      <w:r w:rsidR="00337DD2">
        <w:rPr>
          <w:rFonts w:ascii="Times New Roman" w:hAnsi="Times New Roman"/>
          <w:sz w:val="20"/>
          <w:szCs w:val="20"/>
        </w:rPr>
        <w:t>ykazu</w:t>
      </w:r>
      <w:r w:rsidR="00BB0DCA">
        <w:rPr>
          <w:rFonts w:ascii="Times New Roman" w:hAnsi="Times New Roman"/>
          <w:sz w:val="20"/>
          <w:szCs w:val="20"/>
        </w:rPr>
        <w:t xml:space="preserve"> prac legislacyjnych</w:t>
      </w:r>
      <w:r>
        <w:rPr>
          <w:rFonts w:ascii="Times New Roman" w:hAnsi="Times New Roman"/>
          <w:sz w:val="20"/>
          <w:szCs w:val="20"/>
        </w:rPr>
        <w:t>.</w:t>
      </w:r>
    </w:p>
    <w:p w14:paraId="292D0096" w14:textId="77777777" w:rsidR="00C004B6" w:rsidRDefault="00C004B6" w:rsidP="00C004B6">
      <w:pPr>
        <w:numPr>
          <w:ilvl w:val="0"/>
          <w:numId w:val="16"/>
        </w:numPr>
        <w:spacing w:after="120" w:line="240" w:lineRule="auto"/>
        <w:jc w:val="both"/>
        <w:rPr>
          <w:rFonts w:ascii="Times New Roman" w:hAnsi="Times New Roman"/>
          <w:sz w:val="20"/>
          <w:szCs w:val="20"/>
        </w:rPr>
      </w:pPr>
      <w:r w:rsidRPr="00522D94">
        <w:rPr>
          <w:rFonts w:ascii="Times New Roman" w:hAnsi="Times New Roman"/>
          <w:sz w:val="20"/>
          <w:szCs w:val="20"/>
        </w:rPr>
        <w:t>Ministerstwo wiodące</w:t>
      </w:r>
      <w:r>
        <w:rPr>
          <w:rFonts w:ascii="Times New Roman" w:hAnsi="Times New Roman"/>
          <w:sz w:val="20"/>
          <w:szCs w:val="20"/>
        </w:rPr>
        <w:t xml:space="preserve"> i ministerstwa współpracujące:</w:t>
      </w:r>
    </w:p>
    <w:p w14:paraId="3926DB2F" w14:textId="77777777" w:rsidR="00C004B6" w:rsidRPr="00522D94" w:rsidRDefault="00C004B6" w:rsidP="00C004B6">
      <w:pPr>
        <w:spacing w:after="120" w:line="240" w:lineRule="auto"/>
        <w:ind w:left="420"/>
        <w:jc w:val="both"/>
        <w:rPr>
          <w:rFonts w:ascii="Times New Roman" w:hAnsi="Times New Roman"/>
          <w:sz w:val="20"/>
          <w:szCs w:val="20"/>
        </w:rPr>
      </w:pPr>
      <w:r>
        <w:rPr>
          <w:rFonts w:ascii="Times New Roman" w:hAnsi="Times New Roman"/>
          <w:sz w:val="20"/>
          <w:szCs w:val="20"/>
        </w:rPr>
        <w:t xml:space="preserve">Proszę wskazać </w:t>
      </w:r>
      <w:r w:rsidR="001C1060">
        <w:rPr>
          <w:rFonts w:ascii="Times New Roman" w:hAnsi="Times New Roman"/>
          <w:sz w:val="20"/>
          <w:szCs w:val="20"/>
        </w:rPr>
        <w:t>organ</w:t>
      </w:r>
      <w:r>
        <w:rPr>
          <w:rFonts w:ascii="Times New Roman" w:hAnsi="Times New Roman"/>
          <w:sz w:val="20"/>
          <w:szCs w:val="20"/>
        </w:rPr>
        <w:t xml:space="preserve"> odpowiedzialny za przygotowanie projektu, jego koordynację oraz wdrożenie (ministerstwo wiodące). </w:t>
      </w:r>
      <w:r w:rsidR="004244A8">
        <w:rPr>
          <w:rFonts w:ascii="Times New Roman" w:hAnsi="Times New Roman"/>
          <w:sz w:val="20"/>
          <w:szCs w:val="20"/>
        </w:rPr>
        <w:t>W</w:t>
      </w:r>
      <w:r>
        <w:rPr>
          <w:rFonts w:ascii="Times New Roman" w:hAnsi="Times New Roman"/>
          <w:sz w:val="20"/>
          <w:szCs w:val="20"/>
        </w:rPr>
        <w:t xml:space="preserve"> </w:t>
      </w:r>
      <w:r w:rsidR="00C33027">
        <w:rPr>
          <w:rFonts w:ascii="Times New Roman" w:hAnsi="Times New Roman"/>
          <w:sz w:val="20"/>
          <w:szCs w:val="20"/>
        </w:rPr>
        <w:t>przypadku, gdy</w:t>
      </w:r>
      <w:r>
        <w:rPr>
          <w:rFonts w:ascii="Times New Roman" w:hAnsi="Times New Roman"/>
          <w:sz w:val="20"/>
          <w:szCs w:val="20"/>
        </w:rPr>
        <w:t xml:space="preserve"> projekt jest przedmiotem prac więcej niż jednego ministerstwa, proszę wskazać również podmioty współpracujące.</w:t>
      </w:r>
    </w:p>
    <w:p w14:paraId="00F00FAA" w14:textId="77777777" w:rsidR="00C004B6" w:rsidRDefault="00C004B6" w:rsidP="00C004B6">
      <w:pPr>
        <w:numPr>
          <w:ilvl w:val="0"/>
          <w:numId w:val="16"/>
        </w:numPr>
        <w:spacing w:after="120" w:line="240" w:lineRule="auto"/>
        <w:jc w:val="both"/>
        <w:rPr>
          <w:rFonts w:ascii="Times New Roman" w:hAnsi="Times New Roman"/>
          <w:sz w:val="20"/>
          <w:szCs w:val="20"/>
        </w:rPr>
      </w:pPr>
      <w:r w:rsidRPr="00522D94">
        <w:rPr>
          <w:rFonts w:ascii="Times New Roman" w:hAnsi="Times New Roman"/>
          <w:sz w:val="20"/>
          <w:szCs w:val="20"/>
        </w:rPr>
        <w:t xml:space="preserve">Osoba odpowiedzialna za </w:t>
      </w:r>
      <w:r w:rsidR="00BB0DCA">
        <w:rPr>
          <w:rFonts w:ascii="Times New Roman" w:hAnsi="Times New Roman"/>
          <w:sz w:val="20"/>
          <w:szCs w:val="20"/>
        </w:rPr>
        <w:t>projekt</w:t>
      </w:r>
      <w:r w:rsidR="00BB0DCA" w:rsidRPr="00522D94">
        <w:rPr>
          <w:rFonts w:ascii="Times New Roman" w:hAnsi="Times New Roman"/>
          <w:sz w:val="20"/>
          <w:szCs w:val="20"/>
        </w:rPr>
        <w:t xml:space="preserve"> </w:t>
      </w:r>
      <w:r w:rsidRPr="00522D94">
        <w:rPr>
          <w:rFonts w:ascii="Times New Roman" w:hAnsi="Times New Roman"/>
          <w:sz w:val="20"/>
          <w:szCs w:val="20"/>
        </w:rPr>
        <w:t>w randze Ministra, Sekretarza Stanu lub Podsekretarza Stanu</w:t>
      </w:r>
      <w:r>
        <w:rPr>
          <w:rFonts w:ascii="Times New Roman" w:hAnsi="Times New Roman"/>
          <w:sz w:val="20"/>
          <w:szCs w:val="20"/>
        </w:rPr>
        <w:t>:</w:t>
      </w:r>
    </w:p>
    <w:p w14:paraId="7253A1C4" w14:textId="77777777" w:rsidR="00C004B6" w:rsidRDefault="00C004B6" w:rsidP="00C004B6">
      <w:pPr>
        <w:spacing w:after="120" w:line="240" w:lineRule="auto"/>
        <w:ind w:left="420"/>
        <w:jc w:val="both"/>
        <w:rPr>
          <w:rFonts w:ascii="Times New Roman" w:hAnsi="Times New Roman"/>
          <w:sz w:val="20"/>
          <w:szCs w:val="20"/>
        </w:rPr>
      </w:pPr>
      <w:r>
        <w:rPr>
          <w:rFonts w:ascii="Times New Roman" w:hAnsi="Times New Roman"/>
          <w:sz w:val="20"/>
          <w:szCs w:val="20"/>
        </w:rPr>
        <w:t>Proszę wskazać</w:t>
      </w:r>
      <w:r w:rsidRPr="00522D94">
        <w:rPr>
          <w:rFonts w:ascii="Times New Roman" w:hAnsi="Times New Roman"/>
          <w:sz w:val="20"/>
          <w:szCs w:val="20"/>
        </w:rPr>
        <w:t xml:space="preserve"> osob</w:t>
      </w:r>
      <w:r>
        <w:rPr>
          <w:rFonts w:ascii="Times New Roman" w:hAnsi="Times New Roman"/>
          <w:sz w:val="20"/>
          <w:szCs w:val="20"/>
        </w:rPr>
        <w:t>ę</w:t>
      </w:r>
      <w:r w:rsidRPr="00522D94">
        <w:rPr>
          <w:rFonts w:ascii="Times New Roman" w:hAnsi="Times New Roman"/>
          <w:sz w:val="20"/>
          <w:szCs w:val="20"/>
        </w:rPr>
        <w:t xml:space="preserve">, która w ministerstwie wiodącym nadzoruje prace jednostki odpowiedzialnej za </w:t>
      </w:r>
      <w:r>
        <w:rPr>
          <w:rFonts w:ascii="Times New Roman" w:hAnsi="Times New Roman"/>
          <w:sz w:val="20"/>
          <w:szCs w:val="20"/>
        </w:rPr>
        <w:t>merytoryczne przygotowanie projektu</w:t>
      </w:r>
      <w:r w:rsidRPr="00522D94">
        <w:rPr>
          <w:rFonts w:ascii="Times New Roman" w:hAnsi="Times New Roman"/>
          <w:sz w:val="20"/>
          <w:szCs w:val="20"/>
        </w:rPr>
        <w:t xml:space="preserve">. </w:t>
      </w:r>
    </w:p>
    <w:p w14:paraId="6E06D8B4" w14:textId="77777777" w:rsidR="00C004B6" w:rsidRDefault="00C004B6" w:rsidP="00C004B6">
      <w:pPr>
        <w:numPr>
          <w:ilvl w:val="0"/>
          <w:numId w:val="16"/>
        </w:numPr>
        <w:spacing w:after="120" w:line="240" w:lineRule="auto"/>
        <w:jc w:val="both"/>
        <w:rPr>
          <w:rFonts w:ascii="Times New Roman" w:hAnsi="Times New Roman"/>
          <w:sz w:val="20"/>
          <w:szCs w:val="20"/>
        </w:rPr>
      </w:pPr>
      <w:r>
        <w:rPr>
          <w:rFonts w:ascii="Times New Roman" w:hAnsi="Times New Roman"/>
          <w:sz w:val="20"/>
          <w:szCs w:val="20"/>
        </w:rPr>
        <w:t>Kontakt do o</w:t>
      </w:r>
      <w:r w:rsidRPr="00522D94">
        <w:rPr>
          <w:rFonts w:ascii="Times New Roman" w:hAnsi="Times New Roman"/>
          <w:sz w:val="20"/>
          <w:szCs w:val="20"/>
        </w:rPr>
        <w:t>piekun</w:t>
      </w:r>
      <w:r>
        <w:rPr>
          <w:rFonts w:ascii="Times New Roman" w:hAnsi="Times New Roman"/>
          <w:sz w:val="20"/>
          <w:szCs w:val="20"/>
        </w:rPr>
        <w:t>a</w:t>
      </w:r>
      <w:r w:rsidRPr="00522D94">
        <w:rPr>
          <w:rFonts w:ascii="Times New Roman" w:hAnsi="Times New Roman"/>
          <w:sz w:val="20"/>
          <w:szCs w:val="20"/>
        </w:rPr>
        <w:t xml:space="preserve"> merytoryczn</w:t>
      </w:r>
      <w:r>
        <w:rPr>
          <w:rFonts w:ascii="Times New Roman" w:hAnsi="Times New Roman"/>
          <w:sz w:val="20"/>
          <w:szCs w:val="20"/>
        </w:rPr>
        <w:t>ego</w:t>
      </w:r>
      <w:r w:rsidRPr="00522D94">
        <w:rPr>
          <w:rFonts w:ascii="Times New Roman" w:hAnsi="Times New Roman"/>
          <w:sz w:val="20"/>
          <w:szCs w:val="20"/>
        </w:rPr>
        <w:t xml:space="preserve"> projektu</w:t>
      </w:r>
      <w:r>
        <w:rPr>
          <w:rFonts w:ascii="Times New Roman" w:hAnsi="Times New Roman"/>
          <w:sz w:val="20"/>
          <w:szCs w:val="20"/>
        </w:rPr>
        <w:t>:</w:t>
      </w:r>
    </w:p>
    <w:p w14:paraId="5F6DA242" w14:textId="77777777" w:rsidR="004244A8" w:rsidRPr="00522D94" w:rsidRDefault="004244A8" w:rsidP="004244A8">
      <w:pPr>
        <w:spacing w:after="120" w:line="240" w:lineRule="auto"/>
        <w:ind w:left="420"/>
        <w:jc w:val="both"/>
        <w:rPr>
          <w:rFonts w:ascii="Times New Roman" w:hAnsi="Times New Roman"/>
          <w:sz w:val="20"/>
          <w:szCs w:val="20"/>
        </w:rPr>
      </w:pPr>
      <w:r>
        <w:rPr>
          <w:rFonts w:ascii="Times New Roman" w:hAnsi="Times New Roman"/>
          <w:sz w:val="20"/>
          <w:szCs w:val="20"/>
        </w:rPr>
        <w:t>Proszę podać kontakt (telefon, adres e-mail) do</w:t>
      </w:r>
      <w:r w:rsidRPr="00522D94">
        <w:rPr>
          <w:rFonts w:ascii="Times New Roman" w:hAnsi="Times New Roman"/>
          <w:sz w:val="20"/>
          <w:szCs w:val="20"/>
        </w:rPr>
        <w:t xml:space="preserve"> osob</w:t>
      </w:r>
      <w:r>
        <w:rPr>
          <w:rFonts w:ascii="Times New Roman" w:hAnsi="Times New Roman"/>
          <w:sz w:val="20"/>
          <w:szCs w:val="20"/>
        </w:rPr>
        <w:t>y,</w:t>
      </w:r>
      <w:r w:rsidRPr="00522D94">
        <w:rPr>
          <w:rFonts w:ascii="Times New Roman" w:hAnsi="Times New Roman"/>
          <w:sz w:val="20"/>
          <w:szCs w:val="20"/>
        </w:rPr>
        <w:t xml:space="preserve"> </w:t>
      </w:r>
      <w:r>
        <w:rPr>
          <w:rFonts w:ascii="Times New Roman" w:hAnsi="Times New Roman"/>
          <w:sz w:val="20"/>
          <w:szCs w:val="20"/>
        </w:rPr>
        <w:t xml:space="preserve">która jest odpowiedzialna za opracowanie projektu (np. kierownika komórki organizacyjnej) i będzie w stanie odpowiedzieć na </w:t>
      </w:r>
      <w:r w:rsidRPr="00522D94">
        <w:rPr>
          <w:rFonts w:ascii="Times New Roman" w:hAnsi="Times New Roman"/>
          <w:sz w:val="20"/>
          <w:szCs w:val="20"/>
        </w:rPr>
        <w:t>ewentualne pytania związane z przedstawionymi</w:t>
      </w:r>
      <w:r>
        <w:rPr>
          <w:rFonts w:ascii="Times New Roman" w:hAnsi="Times New Roman"/>
          <w:sz w:val="20"/>
          <w:szCs w:val="20"/>
        </w:rPr>
        <w:t xml:space="preserve"> w ocenie</w:t>
      </w:r>
      <w:r w:rsidRPr="00522D94">
        <w:rPr>
          <w:rFonts w:ascii="Times New Roman" w:hAnsi="Times New Roman"/>
          <w:sz w:val="20"/>
          <w:szCs w:val="20"/>
        </w:rPr>
        <w:t xml:space="preserve"> informacjami</w:t>
      </w:r>
      <w:r>
        <w:rPr>
          <w:rFonts w:ascii="Times New Roman" w:hAnsi="Times New Roman"/>
          <w:sz w:val="20"/>
          <w:szCs w:val="20"/>
        </w:rPr>
        <w:t xml:space="preserve"> lub wskaże odpowiednią osobę</w:t>
      </w:r>
      <w:r w:rsidRPr="00522D94">
        <w:rPr>
          <w:rFonts w:ascii="Times New Roman" w:hAnsi="Times New Roman"/>
          <w:sz w:val="20"/>
          <w:szCs w:val="20"/>
        </w:rPr>
        <w:t>.</w:t>
      </w:r>
    </w:p>
    <w:p w14:paraId="759DA102" w14:textId="77777777" w:rsidR="00C004B6" w:rsidRDefault="00C004B6" w:rsidP="00C004B6">
      <w:pPr>
        <w:numPr>
          <w:ilvl w:val="0"/>
          <w:numId w:val="16"/>
        </w:numPr>
        <w:spacing w:after="120" w:line="240" w:lineRule="auto"/>
        <w:jc w:val="both"/>
        <w:rPr>
          <w:rFonts w:ascii="Times New Roman" w:hAnsi="Times New Roman"/>
          <w:sz w:val="20"/>
          <w:szCs w:val="20"/>
        </w:rPr>
      </w:pPr>
      <w:r>
        <w:rPr>
          <w:rFonts w:ascii="Times New Roman" w:hAnsi="Times New Roman"/>
          <w:sz w:val="20"/>
          <w:szCs w:val="20"/>
        </w:rPr>
        <w:t>Data sporządzenia:</w:t>
      </w:r>
    </w:p>
    <w:p w14:paraId="1CD0D0E3" w14:textId="77777777" w:rsidR="00C004B6" w:rsidRDefault="00C004B6" w:rsidP="00C004B6">
      <w:pPr>
        <w:spacing w:after="120" w:line="240" w:lineRule="auto"/>
        <w:ind w:left="420"/>
        <w:jc w:val="both"/>
        <w:rPr>
          <w:rFonts w:ascii="Times New Roman" w:hAnsi="Times New Roman"/>
          <w:sz w:val="20"/>
          <w:szCs w:val="20"/>
        </w:rPr>
      </w:pPr>
      <w:r>
        <w:rPr>
          <w:rFonts w:ascii="Times New Roman" w:hAnsi="Times New Roman"/>
          <w:sz w:val="20"/>
          <w:szCs w:val="20"/>
        </w:rPr>
        <w:t xml:space="preserve">Proszę podać datę przygotowania </w:t>
      </w:r>
      <w:r w:rsidR="001C1060">
        <w:rPr>
          <w:rFonts w:ascii="Times New Roman" w:hAnsi="Times New Roman"/>
          <w:sz w:val="20"/>
          <w:szCs w:val="20"/>
        </w:rPr>
        <w:t>OSR</w:t>
      </w:r>
      <w:r>
        <w:rPr>
          <w:rFonts w:ascii="Times New Roman" w:hAnsi="Times New Roman"/>
          <w:sz w:val="20"/>
          <w:szCs w:val="20"/>
        </w:rPr>
        <w:t>.</w:t>
      </w:r>
      <w:r w:rsidRPr="00522D94">
        <w:rPr>
          <w:rFonts w:ascii="Times New Roman" w:hAnsi="Times New Roman"/>
          <w:sz w:val="20"/>
          <w:szCs w:val="20"/>
        </w:rPr>
        <w:t xml:space="preserve"> </w:t>
      </w:r>
    </w:p>
    <w:p w14:paraId="7F53D81A" w14:textId="77777777" w:rsidR="00C004B6" w:rsidRDefault="00C004B6" w:rsidP="00C004B6">
      <w:pPr>
        <w:numPr>
          <w:ilvl w:val="0"/>
          <w:numId w:val="16"/>
        </w:numPr>
        <w:spacing w:after="120" w:line="240" w:lineRule="auto"/>
        <w:jc w:val="both"/>
        <w:rPr>
          <w:rFonts w:ascii="Times New Roman" w:hAnsi="Times New Roman"/>
          <w:sz w:val="20"/>
          <w:szCs w:val="20"/>
        </w:rPr>
      </w:pPr>
      <w:r>
        <w:rPr>
          <w:rFonts w:ascii="Times New Roman" w:hAnsi="Times New Roman"/>
          <w:sz w:val="20"/>
          <w:szCs w:val="20"/>
        </w:rPr>
        <w:t>Źródło:</w:t>
      </w:r>
    </w:p>
    <w:p w14:paraId="2A651529" w14:textId="77777777" w:rsidR="00C004B6" w:rsidRDefault="00C004B6" w:rsidP="00C004B6">
      <w:pPr>
        <w:spacing w:after="120" w:line="240" w:lineRule="auto"/>
        <w:ind w:left="420"/>
        <w:jc w:val="both"/>
        <w:rPr>
          <w:rFonts w:ascii="Times New Roman" w:hAnsi="Times New Roman"/>
          <w:sz w:val="20"/>
          <w:szCs w:val="20"/>
        </w:rPr>
      </w:pPr>
      <w:r>
        <w:rPr>
          <w:rFonts w:ascii="Times New Roman" w:hAnsi="Times New Roman"/>
          <w:sz w:val="20"/>
          <w:szCs w:val="20"/>
        </w:rPr>
        <w:t>Z rozwijanej listy proszę wybrać źródło</w:t>
      </w:r>
      <w:r w:rsidR="00BB0DCA">
        <w:rPr>
          <w:rFonts w:ascii="Times New Roman" w:hAnsi="Times New Roman"/>
          <w:sz w:val="20"/>
          <w:szCs w:val="20"/>
        </w:rPr>
        <w:t>,</w:t>
      </w:r>
      <w:r>
        <w:rPr>
          <w:rFonts w:ascii="Times New Roman" w:hAnsi="Times New Roman"/>
          <w:sz w:val="20"/>
          <w:szCs w:val="20"/>
        </w:rPr>
        <w:t xml:space="preserve"> na podstawie którego przygotowywany jest projekt (</w:t>
      </w:r>
      <w:r w:rsidRPr="008557A1">
        <w:rPr>
          <w:rFonts w:ascii="Times New Roman" w:hAnsi="Times New Roman"/>
          <w:sz w:val="20"/>
          <w:szCs w:val="20"/>
        </w:rPr>
        <w:t>punkt exposé, data decyzji, nazwa strategii, nr dyrektywy, syg</w:t>
      </w:r>
      <w:r w:rsidR="00BB0DCA">
        <w:rPr>
          <w:rFonts w:ascii="Times New Roman" w:hAnsi="Times New Roman"/>
          <w:sz w:val="20"/>
          <w:szCs w:val="20"/>
        </w:rPr>
        <w:t>n</w:t>
      </w:r>
      <w:r w:rsidRPr="008557A1">
        <w:rPr>
          <w:rFonts w:ascii="Times New Roman" w:hAnsi="Times New Roman"/>
          <w:sz w:val="20"/>
          <w:szCs w:val="20"/>
        </w:rPr>
        <w:t>. orzeczenia TK, nazwa ustawy, inne</w:t>
      </w:r>
      <w:r>
        <w:rPr>
          <w:rFonts w:ascii="Times New Roman" w:hAnsi="Times New Roman"/>
          <w:sz w:val="20"/>
          <w:szCs w:val="20"/>
        </w:rPr>
        <w:t xml:space="preserve">). </w:t>
      </w:r>
    </w:p>
    <w:p w14:paraId="7B391F4B" w14:textId="77777777" w:rsidR="00C004B6" w:rsidRDefault="00C004B6" w:rsidP="00C004B6">
      <w:pPr>
        <w:numPr>
          <w:ilvl w:val="0"/>
          <w:numId w:val="16"/>
        </w:numPr>
        <w:spacing w:after="120" w:line="240" w:lineRule="auto"/>
        <w:jc w:val="both"/>
        <w:rPr>
          <w:rFonts w:ascii="Times New Roman" w:hAnsi="Times New Roman"/>
          <w:sz w:val="20"/>
          <w:szCs w:val="20"/>
        </w:rPr>
      </w:pPr>
      <w:r>
        <w:rPr>
          <w:rFonts w:ascii="Times New Roman" w:hAnsi="Times New Roman"/>
          <w:sz w:val="20"/>
          <w:szCs w:val="20"/>
        </w:rPr>
        <w:t xml:space="preserve">Nr w </w:t>
      </w:r>
      <w:r w:rsidR="00BB0DCA">
        <w:rPr>
          <w:rFonts w:ascii="Times New Roman" w:hAnsi="Times New Roman"/>
          <w:sz w:val="20"/>
          <w:szCs w:val="20"/>
        </w:rPr>
        <w:t>w</w:t>
      </w:r>
      <w:r>
        <w:rPr>
          <w:rFonts w:ascii="Times New Roman" w:hAnsi="Times New Roman"/>
          <w:sz w:val="20"/>
          <w:szCs w:val="20"/>
        </w:rPr>
        <w:t>ykazie</w:t>
      </w:r>
      <w:r w:rsidR="00BB0DCA">
        <w:rPr>
          <w:rFonts w:ascii="Times New Roman" w:hAnsi="Times New Roman"/>
          <w:sz w:val="20"/>
          <w:szCs w:val="20"/>
        </w:rPr>
        <w:t xml:space="preserve"> prac</w:t>
      </w:r>
      <w:r>
        <w:rPr>
          <w:rFonts w:ascii="Times New Roman" w:hAnsi="Times New Roman"/>
          <w:sz w:val="20"/>
          <w:szCs w:val="20"/>
        </w:rPr>
        <w:t>:</w:t>
      </w:r>
    </w:p>
    <w:p w14:paraId="66E87AAD" w14:textId="77777777" w:rsidR="00C004B6" w:rsidRDefault="00205141" w:rsidP="00C004B6">
      <w:pPr>
        <w:spacing w:after="120" w:line="240" w:lineRule="auto"/>
        <w:ind w:left="420"/>
        <w:jc w:val="both"/>
        <w:rPr>
          <w:rFonts w:ascii="Times New Roman" w:hAnsi="Times New Roman"/>
          <w:sz w:val="20"/>
          <w:szCs w:val="20"/>
        </w:rPr>
      </w:pPr>
      <w:r>
        <w:rPr>
          <w:rFonts w:ascii="Times New Roman" w:hAnsi="Times New Roman"/>
          <w:sz w:val="20"/>
          <w:szCs w:val="20"/>
        </w:rPr>
        <w:t>Proszę podać num</w:t>
      </w:r>
      <w:r w:rsidR="00C004B6">
        <w:rPr>
          <w:rFonts w:ascii="Times New Roman" w:hAnsi="Times New Roman"/>
          <w:sz w:val="20"/>
          <w:szCs w:val="20"/>
        </w:rPr>
        <w:t xml:space="preserve">er </w:t>
      </w:r>
      <w:r>
        <w:rPr>
          <w:rFonts w:ascii="Times New Roman" w:hAnsi="Times New Roman"/>
          <w:sz w:val="20"/>
          <w:szCs w:val="20"/>
        </w:rPr>
        <w:t>z właściwego wykazu prac legislacyjnych</w:t>
      </w:r>
      <w:r w:rsidR="00C004B6">
        <w:rPr>
          <w:rFonts w:ascii="Times New Roman" w:hAnsi="Times New Roman"/>
          <w:sz w:val="20"/>
          <w:szCs w:val="20"/>
        </w:rPr>
        <w:t>.</w:t>
      </w:r>
    </w:p>
    <w:p w14:paraId="244A09E1" w14:textId="77777777" w:rsidR="00522D94" w:rsidRPr="00522D94" w:rsidRDefault="00522D94" w:rsidP="00522D94">
      <w:pPr>
        <w:numPr>
          <w:ilvl w:val="0"/>
          <w:numId w:val="9"/>
        </w:numPr>
        <w:spacing w:after="120" w:line="240" w:lineRule="auto"/>
        <w:jc w:val="both"/>
        <w:rPr>
          <w:rFonts w:ascii="Times New Roman" w:hAnsi="Times New Roman"/>
          <w:b/>
          <w:sz w:val="20"/>
          <w:szCs w:val="20"/>
        </w:rPr>
      </w:pPr>
      <w:r w:rsidRPr="00522D94">
        <w:rPr>
          <w:rFonts w:ascii="Times New Roman" w:hAnsi="Times New Roman"/>
          <w:b/>
          <w:sz w:val="20"/>
          <w:szCs w:val="20"/>
        </w:rPr>
        <w:t>Jaki problem jest rozwiązywany?</w:t>
      </w:r>
    </w:p>
    <w:p w14:paraId="6C81D085" w14:textId="77777777" w:rsidR="004244A8" w:rsidRDefault="004244A8" w:rsidP="004244A8">
      <w:pPr>
        <w:spacing w:after="120"/>
        <w:ind w:left="360"/>
        <w:jc w:val="both"/>
        <w:rPr>
          <w:rFonts w:ascii="Times New Roman" w:hAnsi="Times New Roman"/>
          <w:sz w:val="20"/>
          <w:szCs w:val="20"/>
        </w:rPr>
      </w:pPr>
      <w:r>
        <w:rPr>
          <w:rFonts w:ascii="Times New Roman" w:hAnsi="Times New Roman"/>
          <w:sz w:val="20"/>
          <w:szCs w:val="20"/>
        </w:rPr>
        <w:t>Proszę</w:t>
      </w:r>
      <w:r w:rsidRPr="00EE137C">
        <w:rPr>
          <w:rFonts w:ascii="Times New Roman" w:hAnsi="Times New Roman"/>
          <w:sz w:val="20"/>
          <w:szCs w:val="20"/>
        </w:rPr>
        <w:t xml:space="preserve"> opisać istotę problemu (np. zawodność rynku, zapotrzebowanie na dobro publiczne, wysokie koszty transakcyjne</w:t>
      </w:r>
      <w:r>
        <w:rPr>
          <w:rFonts w:ascii="Times New Roman" w:hAnsi="Times New Roman"/>
          <w:sz w:val="20"/>
          <w:szCs w:val="20"/>
        </w:rPr>
        <w:t>, bariery w prowadzeniu działalności gospodarczej</w:t>
      </w:r>
      <w:r w:rsidRPr="00EE137C">
        <w:rPr>
          <w:rFonts w:ascii="Times New Roman" w:hAnsi="Times New Roman"/>
          <w:sz w:val="20"/>
          <w:szCs w:val="20"/>
        </w:rPr>
        <w:t xml:space="preserve"> itp.) i jego praktyczny wymiar (np. </w:t>
      </w:r>
      <w:r>
        <w:rPr>
          <w:rFonts w:ascii="Times New Roman" w:hAnsi="Times New Roman"/>
          <w:sz w:val="20"/>
          <w:szCs w:val="20"/>
        </w:rPr>
        <w:t xml:space="preserve">zbyt mała ochrona leasingobiorców, niewystarczający </w:t>
      </w:r>
      <w:r w:rsidRPr="00EE137C">
        <w:rPr>
          <w:rFonts w:ascii="Times New Roman" w:hAnsi="Times New Roman"/>
          <w:sz w:val="20"/>
          <w:szCs w:val="20"/>
        </w:rPr>
        <w:t xml:space="preserve">komfort i </w:t>
      </w:r>
      <w:r>
        <w:rPr>
          <w:rFonts w:ascii="Times New Roman" w:hAnsi="Times New Roman"/>
          <w:sz w:val="20"/>
          <w:szCs w:val="20"/>
        </w:rPr>
        <w:t xml:space="preserve">długi </w:t>
      </w:r>
      <w:r w:rsidRPr="00EE137C">
        <w:rPr>
          <w:rFonts w:ascii="Times New Roman" w:hAnsi="Times New Roman"/>
          <w:sz w:val="20"/>
          <w:szCs w:val="20"/>
        </w:rPr>
        <w:t xml:space="preserve">czas podróży koleją, </w:t>
      </w:r>
      <w:r>
        <w:rPr>
          <w:rFonts w:ascii="Times New Roman" w:hAnsi="Times New Roman"/>
          <w:sz w:val="20"/>
          <w:szCs w:val="20"/>
        </w:rPr>
        <w:t xml:space="preserve">występujące </w:t>
      </w:r>
      <w:r w:rsidRPr="00EE137C">
        <w:rPr>
          <w:rFonts w:ascii="Times New Roman" w:hAnsi="Times New Roman"/>
          <w:sz w:val="20"/>
          <w:szCs w:val="20"/>
        </w:rPr>
        <w:t xml:space="preserve">obciążenia administracyjne </w:t>
      </w:r>
      <w:r>
        <w:rPr>
          <w:rFonts w:ascii="Times New Roman" w:hAnsi="Times New Roman"/>
          <w:sz w:val="20"/>
          <w:szCs w:val="20"/>
        </w:rPr>
        <w:t>pobierczego danego przepisu</w:t>
      </w:r>
      <w:r w:rsidRPr="00EE137C">
        <w:rPr>
          <w:rFonts w:ascii="Times New Roman" w:hAnsi="Times New Roman"/>
          <w:sz w:val="20"/>
          <w:szCs w:val="20"/>
        </w:rPr>
        <w:t xml:space="preserve"> itp.). Istotą problemu nie jest brak określonej regulacji - nowa regulacja może być jednym z </w:t>
      </w:r>
      <w:r>
        <w:rPr>
          <w:rFonts w:ascii="Times New Roman" w:hAnsi="Times New Roman"/>
          <w:sz w:val="20"/>
          <w:szCs w:val="20"/>
        </w:rPr>
        <w:t>instrumentów (sposobem)</w:t>
      </w:r>
      <w:r w:rsidRPr="00EE137C">
        <w:rPr>
          <w:rFonts w:ascii="Times New Roman" w:hAnsi="Times New Roman"/>
          <w:sz w:val="20"/>
          <w:szCs w:val="20"/>
        </w:rPr>
        <w:t xml:space="preserve"> rozwiązania problemu. Dobrze i zwięźle wypełniona rubryka umożliwi zrozumienie problemu</w:t>
      </w:r>
      <w:r>
        <w:rPr>
          <w:rFonts w:ascii="Times New Roman" w:hAnsi="Times New Roman"/>
          <w:sz w:val="20"/>
          <w:szCs w:val="20"/>
        </w:rPr>
        <w:t>, który ma być rozwiązany</w:t>
      </w:r>
      <w:r w:rsidRPr="00EE137C">
        <w:rPr>
          <w:rFonts w:ascii="Times New Roman" w:hAnsi="Times New Roman"/>
          <w:sz w:val="20"/>
          <w:szCs w:val="20"/>
        </w:rPr>
        <w:t xml:space="preserve"> oraz skali i przyczyn jego występowania.</w:t>
      </w:r>
    </w:p>
    <w:p w14:paraId="4C76DA83" w14:textId="77777777" w:rsidR="004244A8" w:rsidRDefault="004244A8" w:rsidP="004244A8">
      <w:pPr>
        <w:spacing w:after="120"/>
        <w:ind w:left="360"/>
        <w:jc w:val="both"/>
        <w:rPr>
          <w:rFonts w:ascii="Times New Roman" w:hAnsi="Times New Roman"/>
          <w:sz w:val="20"/>
          <w:szCs w:val="20"/>
        </w:rPr>
      </w:pPr>
      <w:r>
        <w:rPr>
          <w:rFonts w:ascii="Times New Roman" w:hAnsi="Times New Roman"/>
          <w:sz w:val="20"/>
          <w:szCs w:val="20"/>
        </w:rPr>
        <w:t>Jeżeli projekt ma charakter przekrojowy i dotyczy wielu zagadnień (np. ustawa deregulująca zawody, ustawa o ułatwieniu wykonywania działalności gospodarczej) proszę opisać najważniejsze (największe) problemy wymagające rozwiązania.</w:t>
      </w:r>
    </w:p>
    <w:p w14:paraId="6D168ECC" w14:textId="77777777" w:rsidR="00522D94" w:rsidRPr="00522D94" w:rsidRDefault="0013216E" w:rsidP="0013216E">
      <w:pPr>
        <w:numPr>
          <w:ilvl w:val="0"/>
          <w:numId w:val="9"/>
        </w:numPr>
        <w:spacing w:after="120" w:line="240" w:lineRule="auto"/>
        <w:jc w:val="both"/>
        <w:rPr>
          <w:rFonts w:ascii="Times New Roman" w:hAnsi="Times New Roman"/>
          <w:b/>
          <w:sz w:val="20"/>
          <w:szCs w:val="20"/>
        </w:rPr>
      </w:pPr>
      <w:r w:rsidRPr="0013216E">
        <w:rPr>
          <w:rFonts w:ascii="Times New Roman" w:hAnsi="Times New Roman"/>
          <w:b/>
          <w:color w:val="000000"/>
          <w:spacing w:val="-2"/>
          <w:sz w:val="20"/>
          <w:szCs w:val="20"/>
        </w:rPr>
        <w:t xml:space="preserve">Rekomendowane rozwiązanie, w tym planowane narzędzia </w:t>
      </w:r>
      <w:proofErr w:type="gramStart"/>
      <w:r w:rsidRPr="0013216E">
        <w:rPr>
          <w:rFonts w:ascii="Times New Roman" w:hAnsi="Times New Roman"/>
          <w:b/>
          <w:color w:val="000000"/>
          <w:spacing w:val="-2"/>
          <w:sz w:val="20"/>
          <w:szCs w:val="20"/>
        </w:rPr>
        <w:t>interwencji,</w:t>
      </w:r>
      <w:proofErr w:type="gramEnd"/>
      <w:r w:rsidRPr="0013216E">
        <w:rPr>
          <w:rFonts w:ascii="Times New Roman" w:hAnsi="Times New Roman"/>
          <w:b/>
          <w:color w:val="000000"/>
          <w:spacing w:val="-2"/>
          <w:sz w:val="20"/>
          <w:szCs w:val="20"/>
        </w:rPr>
        <w:t xml:space="preserve"> i oczekiwany efekt</w:t>
      </w:r>
    </w:p>
    <w:p w14:paraId="6D35219A" w14:textId="77777777" w:rsidR="004244A8" w:rsidRDefault="004244A8" w:rsidP="004244A8">
      <w:pPr>
        <w:spacing w:after="120"/>
        <w:ind w:left="360"/>
        <w:jc w:val="both"/>
        <w:rPr>
          <w:rFonts w:ascii="Times New Roman" w:hAnsi="Times New Roman"/>
          <w:sz w:val="20"/>
          <w:szCs w:val="20"/>
        </w:rPr>
      </w:pPr>
      <w:r>
        <w:rPr>
          <w:rFonts w:ascii="Times New Roman" w:hAnsi="Times New Roman"/>
          <w:sz w:val="20"/>
          <w:szCs w:val="20"/>
        </w:rPr>
        <w:t>Proszę</w:t>
      </w:r>
      <w:r w:rsidRPr="00EE137C">
        <w:rPr>
          <w:rFonts w:ascii="Times New Roman" w:hAnsi="Times New Roman"/>
          <w:sz w:val="20"/>
          <w:szCs w:val="20"/>
        </w:rPr>
        <w:t xml:space="preserve"> zwięźle opisać </w:t>
      </w:r>
      <w:r>
        <w:rPr>
          <w:rFonts w:ascii="Times New Roman" w:hAnsi="Times New Roman"/>
          <w:sz w:val="20"/>
          <w:szCs w:val="20"/>
        </w:rPr>
        <w:t xml:space="preserve">proponowane </w:t>
      </w:r>
      <w:r w:rsidRPr="00EE137C">
        <w:rPr>
          <w:rFonts w:ascii="Times New Roman" w:hAnsi="Times New Roman"/>
          <w:sz w:val="20"/>
          <w:szCs w:val="20"/>
        </w:rPr>
        <w:t>rozwiązani</w:t>
      </w:r>
      <w:r>
        <w:rPr>
          <w:rFonts w:ascii="Times New Roman" w:hAnsi="Times New Roman"/>
          <w:sz w:val="20"/>
          <w:szCs w:val="20"/>
        </w:rPr>
        <w:t>e</w:t>
      </w:r>
      <w:r w:rsidRPr="00EE137C">
        <w:rPr>
          <w:rFonts w:ascii="Times New Roman" w:hAnsi="Times New Roman"/>
          <w:sz w:val="20"/>
          <w:szCs w:val="20"/>
        </w:rPr>
        <w:t xml:space="preserve"> problemu opisanego w pk</w:t>
      </w:r>
      <w:r>
        <w:rPr>
          <w:rFonts w:ascii="Times New Roman" w:hAnsi="Times New Roman"/>
          <w:sz w:val="20"/>
          <w:szCs w:val="20"/>
        </w:rPr>
        <w:t>t</w:t>
      </w:r>
      <w:r w:rsidRPr="00EE137C">
        <w:rPr>
          <w:rFonts w:ascii="Times New Roman" w:hAnsi="Times New Roman"/>
          <w:sz w:val="20"/>
          <w:szCs w:val="20"/>
        </w:rPr>
        <w:t xml:space="preserve"> 1 oraz oczekiwane rezultaty </w:t>
      </w:r>
      <w:r>
        <w:rPr>
          <w:rFonts w:ascii="Times New Roman" w:hAnsi="Times New Roman"/>
          <w:sz w:val="20"/>
          <w:szCs w:val="20"/>
        </w:rPr>
        <w:t>jego (ich)</w:t>
      </w:r>
      <w:r w:rsidRPr="00EE137C">
        <w:rPr>
          <w:rFonts w:ascii="Times New Roman" w:hAnsi="Times New Roman"/>
          <w:sz w:val="20"/>
          <w:szCs w:val="20"/>
        </w:rPr>
        <w:t xml:space="preserve"> wdrożenia, sformułowane w możliwie </w:t>
      </w:r>
      <w:r w:rsidRPr="00073C38">
        <w:rPr>
          <w:rFonts w:ascii="Times New Roman" w:hAnsi="Times New Roman"/>
          <w:sz w:val="20"/>
          <w:szCs w:val="20"/>
        </w:rPr>
        <w:t>konkretny, mierzalny i określony w czasie</w:t>
      </w:r>
      <w:r>
        <w:rPr>
          <w:rFonts w:ascii="Times New Roman" w:hAnsi="Times New Roman"/>
          <w:sz w:val="20"/>
          <w:szCs w:val="20"/>
        </w:rPr>
        <w:t xml:space="preserve"> sposób - w </w:t>
      </w:r>
      <w:proofErr w:type="gramStart"/>
      <w:r>
        <w:rPr>
          <w:rFonts w:ascii="Times New Roman" w:hAnsi="Times New Roman"/>
          <w:sz w:val="20"/>
          <w:szCs w:val="20"/>
        </w:rPr>
        <w:t>przypadkach</w:t>
      </w:r>
      <w:proofErr w:type="gramEnd"/>
      <w:r>
        <w:rPr>
          <w:rFonts w:ascii="Times New Roman" w:hAnsi="Times New Roman"/>
          <w:sz w:val="20"/>
          <w:szCs w:val="20"/>
        </w:rPr>
        <w:t xml:space="preserve"> w których jest to możliwe powinien być zgodny z zasadą SMART</w:t>
      </w:r>
      <w:r w:rsidRPr="00EE137C">
        <w:rPr>
          <w:rFonts w:ascii="Times New Roman" w:hAnsi="Times New Roman"/>
          <w:sz w:val="20"/>
          <w:szCs w:val="20"/>
        </w:rPr>
        <w:t xml:space="preserve"> </w:t>
      </w:r>
      <w:r w:rsidR="004C36D8">
        <w:rPr>
          <w:rFonts w:ascii="Times New Roman" w:hAnsi="Times New Roman"/>
          <w:sz w:val="20"/>
          <w:szCs w:val="20"/>
        </w:rPr>
        <w:t>(prosty, mierzalny, osiągalny, istotny, określony w czasie),</w:t>
      </w:r>
      <w:r w:rsidR="004C36D8" w:rsidRPr="00EE137C">
        <w:rPr>
          <w:rFonts w:ascii="Times New Roman" w:hAnsi="Times New Roman"/>
          <w:sz w:val="20"/>
          <w:szCs w:val="20"/>
        </w:rPr>
        <w:t xml:space="preserve"> </w:t>
      </w:r>
      <w:r>
        <w:rPr>
          <w:rFonts w:ascii="Times New Roman" w:hAnsi="Times New Roman"/>
          <w:sz w:val="20"/>
          <w:szCs w:val="20"/>
        </w:rPr>
        <w:t>np. osiągnięcie do 2020 r. wskaźnika upowszechnienia wychowania przedszkolnego co najmniej 90%</w:t>
      </w:r>
      <w:r w:rsidRPr="00EE137C">
        <w:rPr>
          <w:rFonts w:ascii="Times New Roman" w:hAnsi="Times New Roman"/>
          <w:sz w:val="20"/>
          <w:szCs w:val="20"/>
        </w:rPr>
        <w:t>.</w:t>
      </w:r>
    </w:p>
    <w:p w14:paraId="5A4AEC40" w14:textId="77777777" w:rsidR="004244A8" w:rsidRPr="00EE137C" w:rsidRDefault="004244A8" w:rsidP="004244A8">
      <w:pPr>
        <w:spacing w:after="120"/>
        <w:ind w:left="360"/>
        <w:jc w:val="both"/>
        <w:rPr>
          <w:rFonts w:ascii="Times New Roman" w:hAnsi="Times New Roman"/>
          <w:sz w:val="20"/>
          <w:szCs w:val="20"/>
        </w:rPr>
      </w:pPr>
      <w:r>
        <w:rPr>
          <w:rFonts w:ascii="Times New Roman" w:hAnsi="Times New Roman"/>
          <w:sz w:val="20"/>
          <w:szCs w:val="20"/>
        </w:rPr>
        <w:t>Jeżeli projekt ma charakter przekrojowy i dotyczy wielu zagadnień (np. ustawa deregulująca zawody, ustawa o ułatwieniu wykonywania działalności gospodarczej) proszę opisać najważniejsze rekomendacje i cele.</w:t>
      </w:r>
    </w:p>
    <w:p w14:paraId="4E7C3F18" w14:textId="77777777" w:rsidR="00522D94" w:rsidRPr="00522D94" w:rsidRDefault="00522D94" w:rsidP="00522D94">
      <w:pPr>
        <w:numPr>
          <w:ilvl w:val="0"/>
          <w:numId w:val="9"/>
        </w:numPr>
        <w:spacing w:after="120" w:line="240" w:lineRule="auto"/>
        <w:jc w:val="both"/>
        <w:rPr>
          <w:rFonts w:ascii="Times New Roman" w:hAnsi="Times New Roman"/>
          <w:b/>
          <w:sz w:val="20"/>
          <w:szCs w:val="20"/>
        </w:rPr>
      </w:pPr>
      <w:r w:rsidRPr="00522D94">
        <w:rPr>
          <w:rFonts w:ascii="Times New Roman" w:hAnsi="Times New Roman"/>
          <w:b/>
          <w:spacing w:val="-2"/>
          <w:sz w:val="20"/>
          <w:szCs w:val="20"/>
        </w:rPr>
        <w:t>Jak problem został rozwiązany w innych krajach, w szczególności krajach członkowskich OECD/UE</w:t>
      </w:r>
      <w:r w:rsidRPr="00522D94">
        <w:rPr>
          <w:rFonts w:ascii="Times New Roman" w:hAnsi="Times New Roman"/>
          <w:b/>
          <w:color w:val="000000"/>
          <w:sz w:val="20"/>
          <w:szCs w:val="20"/>
        </w:rPr>
        <w:t>?</w:t>
      </w:r>
    </w:p>
    <w:p w14:paraId="306F0C8C" w14:textId="77777777" w:rsidR="004244A8" w:rsidRDefault="004244A8" w:rsidP="004244A8">
      <w:pPr>
        <w:spacing w:after="120"/>
        <w:ind w:left="357"/>
        <w:jc w:val="both"/>
        <w:rPr>
          <w:rFonts w:ascii="Times New Roman" w:hAnsi="Times New Roman"/>
          <w:sz w:val="20"/>
          <w:szCs w:val="20"/>
        </w:rPr>
      </w:pPr>
      <w:r>
        <w:rPr>
          <w:rFonts w:ascii="Times New Roman" w:hAnsi="Times New Roman"/>
          <w:sz w:val="20"/>
          <w:szCs w:val="20"/>
        </w:rPr>
        <w:t>Proszę</w:t>
      </w:r>
      <w:r w:rsidRPr="00EE137C">
        <w:rPr>
          <w:rFonts w:ascii="Times New Roman" w:hAnsi="Times New Roman"/>
          <w:sz w:val="20"/>
          <w:szCs w:val="20"/>
        </w:rPr>
        <w:t xml:space="preserve"> wskazać - </w:t>
      </w:r>
      <w:proofErr w:type="gramStart"/>
      <w:r w:rsidRPr="00EE137C">
        <w:rPr>
          <w:rFonts w:ascii="Times New Roman" w:hAnsi="Times New Roman"/>
          <w:sz w:val="20"/>
          <w:szCs w:val="20"/>
        </w:rPr>
        <w:t>tam</w:t>
      </w:r>
      <w:proofErr w:type="gramEnd"/>
      <w:r w:rsidRPr="00EE137C">
        <w:rPr>
          <w:rFonts w:ascii="Times New Roman" w:hAnsi="Times New Roman"/>
          <w:sz w:val="20"/>
          <w:szCs w:val="20"/>
        </w:rPr>
        <w:t xml:space="preserve"> gdzie to możliwe - rozwiązania w minimum 3 krajach i źródła informacji. </w:t>
      </w:r>
      <w:r w:rsidR="00441787">
        <w:rPr>
          <w:rFonts w:ascii="Times New Roman" w:hAnsi="Times New Roman"/>
          <w:sz w:val="20"/>
          <w:szCs w:val="20"/>
        </w:rPr>
        <w:t>Proszę wskazać kraje,</w:t>
      </w:r>
      <w:r w:rsidR="00441787">
        <w:rPr>
          <w:rFonts w:ascii="Times New Roman" w:hAnsi="Times New Roman"/>
          <w:sz w:val="20"/>
          <w:szCs w:val="20"/>
        </w:rPr>
        <w:br/>
      </w:r>
      <w:r>
        <w:rPr>
          <w:rFonts w:ascii="Times New Roman" w:hAnsi="Times New Roman"/>
          <w:sz w:val="20"/>
          <w:szCs w:val="20"/>
        </w:rPr>
        <w:t xml:space="preserve">z których </w:t>
      </w:r>
      <w:r w:rsidR="00C33027">
        <w:rPr>
          <w:rFonts w:ascii="Times New Roman" w:hAnsi="Times New Roman"/>
          <w:sz w:val="20"/>
          <w:szCs w:val="20"/>
        </w:rPr>
        <w:t>rozwiązania przeanalizowano</w:t>
      </w:r>
      <w:r>
        <w:rPr>
          <w:rFonts w:ascii="Times New Roman" w:hAnsi="Times New Roman"/>
          <w:sz w:val="20"/>
          <w:szCs w:val="20"/>
        </w:rPr>
        <w:t xml:space="preserve"> oraz wyniki tych analiz. </w:t>
      </w:r>
    </w:p>
    <w:p w14:paraId="678127AC" w14:textId="77777777" w:rsidR="004244A8" w:rsidRPr="00EE137C" w:rsidRDefault="004244A8" w:rsidP="004244A8">
      <w:pPr>
        <w:spacing w:after="120"/>
        <w:ind w:left="357"/>
        <w:jc w:val="both"/>
        <w:rPr>
          <w:rFonts w:ascii="Times New Roman" w:hAnsi="Times New Roman"/>
          <w:sz w:val="20"/>
          <w:szCs w:val="20"/>
        </w:rPr>
      </w:pPr>
      <w:r w:rsidRPr="0074268D">
        <w:rPr>
          <w:rFonts w:ascii="Times New Roman" w:hAnsi="Times New Roman"/>
          <w:sz w:val="20"/>
          <w:szCs w:val="20"/>
        </w:rPr>
        <w:t xml:space="preserve">Jeżeli projekt ma charakter przekrojowy i dotyczy wielu zagadnień </w:t>
      </w:r>
      <w:r>
        <w:rPr>
          <w:rFonts w:ascii="Times New Roman" w:hAnsi="Times New Roman"/>
          <w:sz w:val="20"/>
          <w:szCs w:val="20"/>
        </w:rPr>
        <w:t xml:space="preserve">(np. ustawa </w:t>
      </w:r>
      <w:r w:rsidRPr="00F94ECB">
        <w:rPr>
          <w:rFonts w:ascii="Times New Roman" w:hAnsi="Times New Roman"/>
          <w:sz w:val="20"/>
          <w:szCs w:val="20"/>
        </w:rPr>
        <w:t xml:space="preserve">deregulująca zawody, ustawa o ułatwieniu wykonywania działalności gospodarczej) proszę </w:t>
      </w:r>
      <w:r w:rsidRPr="00537495">
        <w:rPr>
          <w:rFonts w:ascii="Times New Roman" w:hAnsi="Times New Roman"/>
          <w:sz w:val="20"/>
          <w:szCs w:val="20"/>
        </w:rPr>
        <w:t xml:space="preserve">wskazać </w:t>
      </w:r>
      <w:r>
        <w:rPr>
          <w:rFonts w:ascii="Times New Roman" w:hAnsi="Times New Roman"/>
          <w:sz w:val="20"/>
          <w:szCs w:val="20"/>
        </w:rPr>
        <w:t xml:space="preserve">informacje odnoszące się </w:t>
      </w:r>
      <w:r w:rsidR="00C33027">
        <w:rPr>
          <w:rFonts w:ascii="Times New Roman" w:hAnsi="Times New Roman"/>
          <w:sz w:val="20"/>
          <w:szCs w:val="20"/>
        </w:rPr>
        <w:t xml:space="preserve">do </w:t>
      </w:r>
      <w:r w:rsidR="00C33027" w:rsidRPr="00537495">
        <w:rPr>
          <w:rFonts w:ascii="Times New Roman" w:hAnsi="Times New Roman"/>
          <w:sz w:val="20"/>
          <w:szCs w:val="20"/>
        </w:rPr>
        <w:t>zagadnień</w:t>
      </w:r>
      <w:r w:rsidRPr="00537495">
        <w:rPr>
          <w:rFonts w:ascii="Times New Roman" w:hAnsi="Times New Roman"/>
          <w:sz w:val="20"/>
          <w:szCs w:val="20"/>
        </w:rPr>
        <w:t xml:space="preserve"> najważniejszych</w:t>
      </w:r>
      <w:r>
        <w:rPr>
          <w:rFonts w:ascii="Times New Roman" w:hAnsi="Times New Roman"/>
          <w:sz w:val="20"/>
          <w:szCs w:val="20"/>
        </w:rPr>
        <w:t xml:space="preserve">. </w:t>
      </w:r>
    </w:p>
    <w:p w14:paraId="6ED90B94" w14:textId="77777777" w:rsidR="00522D94" w:rsidRPr="00522D94" w:rsidRDefault="00522D94" w:rsidP="00522D94">
      <w:pPr>
        <w:numPr>
          <w:ilvl w:val="0"/>
          <w:numId w:val="9"/>
        </w:numPr>
        <w:spacing w:after="120" w:line="240" w:lineRule="auto"/>
        <w:jc w:val="both"/>
        <w:rPr>
          <w:rFonts w:ascii="Times New Roman" w:hAnsi="Times New Roman"/>
          <w:b/>
          <w:sz w:val="20"/>
          <w:szCs w:val="20"/>
        </w:rPr>
      </w:pPr>
      <w:r w:rsidRPr="00522D94">
        <w:rPr>
          <w:rFonts w:ascii="Times New Roman" w:hAnsi="Times New Roman"/>
          <w:b/>
          <w:color w:val="000000"/>
          <w:sz w:val="20"/>
          <w:szCs w:val="20"/>
        </w:rPr>
        <w:t>Podmioty, na które oddziałuje projekt</w:t>
      </w:r>
    </w:p>
    <w:p w14:paraId="7271E995" w14:textId="77777777" w:rsidR="000D38FC" w:rsidRDefault="000D38FC" w:rsidP="004A145E">
      <w:pPr>
        <w:spacing w:after="120"/>
        <w:ind w:left="357"/>
        <w:jc w:val="both"/>
        <w:rPr>
          <w:rFonts w:ascii="Times New Roman" w:hAnsi="Times New Roman"/>
          <w:sz w:val="20"/>
          <w:szCs w:val="20"/>
        </w:rPr>
      </w:pPr>
      <w:r>
        <w:rPr>
          <w:rFonts w:ascii="Times New Roman" w:hAnsi="Times New Roman"/>
          <w:sz w:val="20"/>
          <w:szCs w:val="20"/>
        </w:rPr>
        <w:lastRenderedPageBreak/>
        <w:t>Proszę</w:t>
      </w:r>
      <w:r w:rsidRPr="00EE137C">
        <w:rPr>
          <w:rFonts w:ascii="Times New Roman" w:hAnsi="Times New Roman"/>
          <w:sz w:val="20"/>
          <w:szCs w:val="20"/>
        </w:rPr>
        <w:t xml:space="preserve"> wyszczególnić jakie podmioty (zarówno osoby fizyczne, prawne</w:t>
      </w:r>
      <w:r>
        <w:rPr>
          <w:rFonts w:ascii="Times New Roman" w:hAnsi="Times New Roman"/>
          <w:sz w:val="20"/>
          <w:szCs w:val="20"/>
        </w:rPr>
        <w:t xml:space="preserve"> lub</w:t>
      </w:r>
      <w:r w:rsidRPr="00EE137C">
        <w:rPr>
          <w:rFonts w:ascii="Times New Roman" w:hAnsi="Times New Roman"/>
          <w:sz w:val="20"/>
          <w:szCs w:val="20"/>
        </w:rPr>
        <w:t xml:space="preserve"> </w:t>
      </w:r>
      <w:r>
        <w:rPr>
          <w:rFonts w:ascii="Times New Roman" w:hAnsi="Times New Roman"/>
          <w:sz w:val="20"/>
          <w:szCs w:val="20"/>
        </w:rPr>
        <w:t>jednostki</w:t>
      </w:r>
      <w:r w:rsidRPr="00EE137C">
        <w:rPr>
          <w:rFonts w:ascii="Times New Roman" w:hAnsi="Times New Roman"/>
          <w:sz w:val="20"/>
          <w:szCs w:val="20"/>
        </w:rPr>
        <w:t xml:space="preserve"> </w:t>
      </w:r>
      <w:r w:rsidR="00C33027" w:rsidRPr="00EE137C">
        <w:rPr>
          <w:rFonts w:ascii="Times New Roman" w:hAnsi="Times New Roman"/>
          <w:sz w:val="20"/>
          <w:szCs w:val="20"/>
        </w:rPr>
        <w:t>nieposiadające</w:t>
      </w:r>
      <w:r w:rsidRPr="00EE137C">
        <w:rPr>
          <w:rFonts w:ascii="Times New Roman" w:hAnsi="Times New Roman"/>
          <w:sz w:val="20"/>
          <w:szCs w:val="20"/>
        </w:rPr>
        <w:t xml:space="preserve"> osobowości prawnej) są objęte </w:t>
      </w:r>
      <w:r>
        <w:rPr>
          <w:rFonts w:ascii="Times New Roman" w:hAnsi="Times New Roman"/>
          <w:sz w:val="20"/>
          <w:szCs w:val="20"/>
        </w:rPr>
        <w:t>projektem</w:t>
      </w:r>
      <w:r w:rsidRPr="00EE137C">
        <w:rPr>
          <w:rFonts w:ascii="Times New Roman" w:hAnsi="Times New Roman"/>
          <w:sz w:val="20"/>
          <w:szCs w:val="20"/>
        </w:rPr>
        <w:t xml:space="preserve">. </w:t>
      </w:r>
      <w:r>
        <w:rPr>
          <w:rFonts w:ascii="Times New Roman" w:hAnsi="Times New Roman"/>
          <w:sz w:val="20"/>
          <w:szCs w:val="20"/>
        </w:rPr>
        <w:t>Proszę</w:t>
      </w:r>
      <w:r w:rsidRPr="00EE137C">
        <w:rPr>
          <w:rFonts w:ascii="Times New Roman" w:hAnsi="Times New Roman"/>
          <w:sz w:val="20"/>
          <w:szCs w:val="20"/>
        </w:rPr>
        <w:t xml:space="preserve"> oszacować ich </w:t>
      </w:r>
      <w:r>
        <w:rPr>
          <w:rFonts w:ascii="Times New Roman" w:hAnsi="Times New Roman"/>
          <w:sz w:val="20"/>
          <w:szCs w:val="20"/>
        </w:rPr>
        <w:t>liczbę</w:t>
      </w:r>
      <w:r w:rsidRPr="00EE137C">
        <w:rPr>
          <w:rFonts w:ascii="Times New Roman" w:hAnsi="Times New Roman"/>
          <w:sz w:val="20"/>
          <w:szCs w:val="20"/>
        </w:rPr>
        <w:t xml:space="preserve"> (wraz z podaniem źródła danych) oraz opisać charakter oddziaływania </w:t>
      </w:r>
      <w:r>
        <w:rPr>
          <w:rFonts w:ascii="Times New Roman" w:hAnsi="Times New Roman"/>
          <w:sz w:val="20"/>
          <w:szCs w:val="20"/>
        </w:rPr>
        <w:t>projektu</w:t>
      </w:r>
      <w:r w:rsidRPr="00EE137C">
        <w:rPr>
          <w:rFonts w:ascii="Times New Roman" w:hAnsi="Times New Roman"/>
          <w:sz w:val="20"/>
          <w:szCs w:val="20"/>
        </w:rPr>
        <w:t xml:space="preserve"> na daną grupę.</w:t>
      </w:r>
    </w:p>
    <w:p w14:paraId="75876495" w14:textId="77777777" w:rsidR="000D38FC" w:rsidRDefault="000D38FC" w:rsidP="004A145E">
      <w:pPr>
        <w:spacing w:after="120"/>
        <w:ind w:left="357"/>
        <w:jc w:val="both"/>
        <w:rPr>
          <w:rFonts w:ascii="Times New Roman" w:hAnsi="Times New Roman"/>
          <w:sz w:val="20"/>
          <w:szCs w:val="20"/>
        </w:rPr>
      </w:pPr>
      <w:r>
        <w:rPr>
          <w:rFonts w:ascii="Times New Roman" w:hAnsi="Times New Roman"/>
          <w:sz w:val="20"/>
          <w:szCs w:val="20"/>
        </w:rPr>
        <w:t>Proszę dostosować liczbę wierszy w tabeli, zgodnie z potrzebami projektu. Puste wiersze proszę usunąć.</w:t>
      </w:r>
    </w:p>
    <w:p w14:paraId="522F0C79" w14:textId="77777777" w:rsidR="000D38FC" w:rsidRPr="00D93C2B" w:rsidRDefault="000D38FC" w:rsidP="000D38FC">
      <w:pPr>
        <w:spacing w:after="120"/>
        <w:ind w:left="357"/>
        <w:jc w:val="both"/>
        <w:rPr>
          <w:rFonts w:ascii="Times New Roman" w:hAnsi="Times New Roman"/>
          <w:sz w:val="20"/>
          <w:szCs w:val="20"/>
        </w:rPr>
      </w:pPr>
      <w:r>
        <w:rPr>
          <w:rFonts w:ascii="Times New Roman" w:hAnsi="Times New Roman"/>
          <w:sz w:val="20"/>
          <w:szCs w:val="20"/>
        </w:rPr>
        <w:t>Przykładowe grupy: obywatele, MŚP, rolnicy, rodzina, inwestorzy, lekarze, emeryci, osoby niepełnosprawne</w:t>
      </w:r>
      <w:r w:rsidR="00BF6667">
        <w:rPr>
          <w:rFonts w:ascii="Times New Roman" w:hAnsi="Times New Roman"/>
          <w:sz w:val="20"/>
          <w:szCs w:val="20"/>
        </w:rPr>
        <w:t xml:space="preserve">, </w:t>
      </w:r>
      <w:r w:rsidR="00BF6667" w:rsidRPr="00D93C2B">
        <w:rPr>
          <w:rFonts w:ascii="Times New Roman" w:hAnsi="Times New Roman"/>
          <w:sz w:val="20"/>
          <w:szCs w:val="20"/>
        </w:rPr>
        <w:t>sądy powszechne</w:t>
      </w:r>
      <w:r w:rsidR="006D46C4" w:rsidRPr="00D93C2B">
        <w:rPr>
          <w:rFonts w:ascii="Times New Roman" w:hAnsi="Times New Roman"/>
          <w:sz w:val="20"/>
          <w:szCs w:val="20"/>
        </w:rPr>
        <w:t>, administracyjne lub wojskowe</w:t>
      </w:r>
      <w:r w:rsidRPr="00D93C2B">
        <w:rPr>
          <w:rFonts w:ascii="Times New Roman" w:hAnsi="Times New Roman"/>
          <w:sz w:val="20"/>
          <w:szCs w:val="20"/>
        </w:rPr>
        <w:t>.</w:t>
      </w:r>
    </w:p>
    <w:p w14:paraId="5EB89DE8" w14:textId="77777777" w:rsidR="00D42A8F" w:rsidRPr="00EE137C" w:rsidRDefault="00D42A8F" w:rsidP="000D38FC">
      <w:pPr>
        <w:spacing w:after="120"/>
        <w:ind w:left="357"/>
        <w:jc w:val="both"/>
        <w:rPr>
          <w:rFonts w:ascii="Times New Roman" w:hAnsi="Times New Roman"/>
          <w:sz w:val="20"/>
          <w:szCs w:val="20"/>
        </w:rPr>
      </w:pPr>
    </w:p>
    <w:p w14:paraId="260CF6E9" w14:textId="77777777" w:rsidR="00522D94" w:rsidRPr="00522D94" w:rsidRDefault="00522D94" w:rsidP="00522D94">
      <w:pPr>
        <w:numPr>
          <w:ilvl w:val="0"/>
          <w:numId w:val="9"/>
        </w:numPr>
        <w:spacing w:after="120" w:line="240" w:lineRule="auto"/>
        <w:jc w:val="both"/>
        <w:rPr>
          <w:rFonts w:ascii="Times New Roman" w:hAnsi="Times New Roman"/>
          <w:b/>
          <w:sz w:val="20"/>
          <w:szCs w:val="20"/>
        </w:rPr>
      </w:pPr>
      <w:r w:rsidRPr="00522D94">
        <w:rPr>
          <w:rFonts w:ascii="Times New Roman" w:hAnsi="Times New Roman"/>
          <w:b/>
          <w:color w:val="000000"/>
          <w:sz w:val="20"/>
          <w:szCs w:val="20"/>
        </w:rPr>
        <w:t>Informacje na temat zakresu, czasu trwania i podsumowanie wyników konsultacji</w:t>
      </w:r>
    </w:p>
    <w:p w14:paraId="69792E92" w14:textId="77777777" w:rsidR="004244A8" w:rsidRDefault="004244A8" w:rsidP="004A145E">
      <w:pPr>
        <w:spacing w:after="120" w:line="240" w:lineRule="auto"/>
        <w:ind w:left="357"/>
        <w:jc w:val="both"/>
        <w:rPr>
          <w:rFonts w:ascii="Times New Roman" w:hAnsi="Times New Roman"/>
          <w:color w:val="000000"/>
          <w:spacing w:val="-2"/>
          <w:sz w:val="20"/>
          <w:szCs w:val="20"/>
        </w:rPr>
      </w:pPr>
      <w:r w:rsidRPr="007C0060">
        <w:rPr>
          <w:rFonts w:ascii="Times New Roman" w:hAnsi="Times New Roman"/>
          <w:color w:val="000000"/>
          <w:spacing w:val="-2"/>
          <w:sz w:val="20"/>
          <w:szCs w:val="20"/>
        </w:rPr>
        <w:t xml:space="preserve">Proszę </w:t>
      </w:r>
      <w:r>
        <w:rPr>
          <w:rFonts w:ascii="Times New Roman" w:hAnsi="Times New Roman"/>
          <w:color w:val="000000"/>
          <w:spacing w:val="-2"/>
          <w:sz w:val="20"/>
          <w:szCs w:val="20"/>
        </w:rPr>
        <w:t>podać informacje o konsultacjach poprzedzających przygotowanie projektu oraz</w:t>
      </w:r>
      <w:r w:rsidRPr="007C0060">
        <w:rPr>
          <w:rFonts w:ascii="Times New Roman" w:hAnsi="Times New Roman"/>
          <w:color w:val="000000"/>
          <w:spacing w:val="-2"/>
          <w:sz w:val="20"/>
          <w:szCs w:val="20"/>
        </w:rPr>
        <w:t xml:space="preserve"> ws</w:t>
      </w:r>
      <w:r>
        <w:rPr>
          <w:rFonts w:ascii="Times New Roman" w:hAnsi="Times New Roman"/>
          <w:color w:val="000000"/>
          <w:spacing w:val="-2"/>
          <w:sz w:val="20"/>
          <w:szCs w:val="20"/>
        </w:rPr>
        <w:t>kazać, jaki jest planowany zakres konsultacji publicznych i opiniowania projektu, w szczególności uwzględniając:</w:t>
      </w:r>
    </w:p>
    <w:p w14:paraId="7C1AC5EA" w14:textId="77777777" w:rsidR="004244A8" w:rsidRDefault="004244A8" w:rsidP="004244A8">
      <w:pPr>
        <w:numPr>
          <w:ilvl w:val="0"/>
          <w:numId w:val="21"/>
        </w:numPr>
        <w:spacing w:line="240" w:lineRule="auto"/>
        <w:jc w:val="both"/>
        <w:rPr>
          <w:rFonts w:ascii="Times New Roman" w:hAnsi="Times New Roman"/>
          <w:color w:val="000000"/>
          <w:spacing w:val="-2"/>
          <w:sz w:val="20"/>
          <w:szCs w:val="20"/>
        </w:rPr>
      </w:pPr>
      <w:r>
        <w:rPr>
          <w:rFonts w:ascii="Times New Roman" w:hAnsi="Times New Roman"/>
          <w:color w:val="000000"/>
          <w:spacing w:val="-2"/>
          <w:sz w:val="20"/>
          <w:szCs w:val="20"/>
        </w:rPr>
        <w:t xml:space="preserve">wskazanie, czy były (i jak długo) prowadzone konsultacje poprzedzające przygotowanie projektu (tzw. </w:t>
      </w:r>
      <w:proofErr w:type="spellStart"/>
      <w:r>
        <w:rPr>
          <w:rFonts w:ascii="Times New Roman" w:hAnsi="Times New Roman"/>
          <w:color w:val="000000"/>
          <w:spacing w:val="-2"/>
          <w:sz w:val="20"/>
          <w:szCs w:val="20"/>
        </w:rPr>
        <w:t>pre</w:t>
      </w:r>
      <w:proofErr w:type="spellEnd"/>
      <w:r>
        <w:rPr>
          <w:rFonts w:ascii="Times New Roman" w:hAnsi="Times New Roman"/>
          <w:color w:val="000000"/>
          <w:spacing w:val="-2"/>
          <w:sz w:val="20"/>
          <w:szCs w:val="20"/>
        </w:rPr>
        <w:t>-konsultacje publiczne),</w:t>
      </w:r>
      <w:r w:rsidRPr="00596BBD">
        <w:rPr>
          <w:rFonts w:ascii="Times New Roman" w:hAnsi="Times New Roman"/>
          <w:color w:val="000000"/>
          <w:spacing w:val="-2"/>
          <w:sz w:val="20"/>
          <w:szCs w:val="20"/>
        </w:rPr>
        <w:t xml:space="preserve"> </w:t>
      </w:r>
      <w:r>
        <w:rPr>
          <w:rFonts w:ascii="Times New Roman" w:hAnsi="Times New Roman"/>
          <w:color w:val="000000"/>
          <w:spacing w:val="-2"/>
          <w:sz w:val="20"/>
          <w:szCs w:val="20"/>
        </w:rPr>
        <w:t>podmioty, z którymi były prowadzone te konsultacje (w tym ekspertów), w jaki sposób komunikowano się z grupami wskazanymi w pkt 6 (metody konsultacji np. warsztaty, kwestionariusz on-line),</w:t>
      </w:r>
      <w:r w:rsidRPr="00596BBD">
        <w:rPr>
          <w:rFonts w:ascii="Times New Roman" w:hAnsi="Times New Roman"/>
          <w:color w:val="000000"/>
          <w:spacing w:val="-2"/>
          <w:sz w:val="20"/>
          <w:szCs w:val="20"/>
        </w:rPr>
        <w:t xml:space="preserve"> </w:t>
      </w:r>
      <w:r>
        <w:rPr>
          <w:rFonts w:ascii="Times New Roman" w:hAnsi="Times New Roman"/>
          <w:color w:val="000000"/>
          <w:spacing w:val="-2"/>
          <w:sz w:val="20"/>
          <w:szCs w:val="20"/>
        </w:rPr>
        <w:t>krótkie podsumowanie wyników konsultacji,</w:t>
      </w:r>
    </w:p>
    <w:p w14:paraId="6D0590EA" w14:textId="77777777" w:rsidR="004244A8" w:rsidRDefault="004244A8" w:rsidP="004244A8">
      <w:pPr>
        <w:numPr>
          <w:ilvl w:val="0"/>
          <w:numId w:val="21"/>
        </w:numPr>
        <w:spacing w:line="240" w:lineRule="auto"/>
        <w:jc w:val="both"/>
        <w:rPr>
          <w:rFonts w:ascii="Times New Roman" w:hAnsi="Times New Roman"/>
          <w:color w:val="000000"/>
          <w:spacing w:val="-2"/>
          <w:sz w:val="20"/>
          <w:szCs w:val="20"/>
        </w:rPr>
      </w:pPr>
      <w:r>
        <w:rPr>
          <w:rFonts w:ascii="Times New Roman" w:hAnsi="Times New Roman"/>
          <w:color w:val="000000"/>
          <w:spacing w:val="-2"/>
          <w:sz w:val="20"/>
          <w:szCs w:val="20"/>
        </w:rPr>
        <w:t>terminy planowanych konsultacji publicznych, podmioty, z którymi będzie konsultow</w:t>
      </w:r>
      <w:r w:rsidR="00441787">
        <w:rPr>
          <w:rFonts w:ascii="Times New Roman" w:hAnsi="Times New Roman"/>
          <w:color w:val="000000"/>
          <w:spacing w:val="-2"/>
          <w:sz w:val="20"/>
          <w:szCs w:val="20"/>
        </w:rPr>
        <w:t>any projekt, wskazanie przepisu</w:t>
      </w:r>
      <w:r w:rsidR="00441787">
        <w:rPr>
          <w:rFonts w:ascii="Times New Roman" w:hAnsi="Times New Roman"/>
          <w:color w:val="000000"/>
          <w:spacing w:val="-2"/>
          <w:sz w:val="20"/>
          <w:szCs w:val="20"/>
        </w:rPr>
        <w:br/>
      </w:r>
      <w:r>
        <w:rPr>
          <w:rFonts w:ascii="Times New Roman" w:hAnsi="Times New Roman"/>
          <w:color w:val="000000"/>
          <w:spacing w:val="-2"/>
          <w:sz w:val="20"/>
          <w:szCs w:val="20"/>
        </w:rPr>
        <w:t>z którego wynika obowiązek zasięgnięcia opinii.</w:t>
      </w:r>
    </w:p>
    <w:p w14:paraId="7D62D461" w14:textId="77777777" w:rsidR="009D0655" w:rsidRPr="00EE137C" w:rsidRDefault="009D0655" w:rsidP="009D0655">
      <w:pPr>
        <w:spacing w:line="240" w:lineRule="auto"/>
        <w:rPr>
          <w:rFonts w:ascii="Times New Roman" w:hAnsi="Times New Roman"/>
          <w:color w:val="000000"/>
          <w:spacing w:val="-2"/>
          <w:sz w:val="20"/>
          <w:szCs w:val="20"/>
        </w:rPr>
      </w:pPr>
    </w:p>
    <w:p w14:paraId="233C38A0" w14:textId="77777777" w:rsidR="00522D94" w:rsidRPr="00422181" w:rsidRDefault="00522D94" w:rsidP="00522D94">
      <w:pPr>
        <w:numPr>
          <w:ilvl w:val="0"/>
          <w:numId w:val="9"/>
        </w:numPr>
        <w:spacing w:after="120" w:line="240" w:lineRule="auto"/>
        <w:jc w:val="both"/>
        <w:rPr>
          <w:rFonts w:ascii="Times New Roman" w:hAnsi="Times New Roman"/>
          <w:b/>
          <w:sz w:val="20"/>
          <w:szCs w:val="20"/>
        </w:rPr>
      </w:pPr>
      <w:r w:rsidRPr="00422181">
        <w:rPr>
          <w:rFonts w:ascii="Times New Roman" w:hAnsi="Times New Roman"/>
          <w:b/>
          <w:color w:val="000000"/>
          <w:sz w:val="20"/>
          <w:szCs w:val="20"/>
        </w:rPr>
        <w:t>Wpływ na sektor finansów publicznych</w:t>
      </w:r>
    </w:p>
    <w:p w14:paraId="18CD1EB5" w14:textId="77777777" w:rsidR="004244A8" w:rsidRDefault="00422181" w:rsidP="00422181">
      <w:pPr>
        <w:spacing w:after="120"/>
        <w:ind w:left="357"/>
        <w:jc w:val="both"/>
        <w:rPr>
          <w:rFonts w:ascii="Times New Roman" w:hAnsi="Times New Roman"/>
          <w:sz w:val="20"/>
          <w:szCs w:val="20"/>
        </w:rPr>
      </w:pPr>
      <w:r w:rsidRPr="00422181">
        <w:rPr>
          <w:rFonts w:ascii="Times New Roman" w:hAnsi="Times New Roman"/>
          <w:sz w:val="20"/>
          <w:szCs w:val="20"/>
        </w:rPr>
        <w:t xml:space="preserve">W przygotowaniu kalkulacji skutków dla sektora finansów publicznych </w:t>
      </w:r>
      <w:r w:rsidR="00187E79">
        <w:rPr>
          <w:rFonts w:ascii="Times New Roman" w:hAnsi="Times New Roman"/>
          <w:sz w:val="20"/>
          <w:szCs w:val="20"/>
        </w:rPr>
        <w:t>proszę</w:t>
      </w:r>
      <w:r w:rsidR="00187E79" w:rsidRPr="00422181">
        <w:rPr>
          <w:rFonts w:ascii="Times New Roman" w:hAnsi="Times New Roman"/>
          <w:sz w:val="20"/>
          <w:szCs w:val="20"/>
        </w:rPr>
        <w:t xml:space="preserve"> uwzględnić</w:t>
      </w:r>
      <w:r w:rsidRPr="00422181">
        <w:rPr>
          <w:rFonts w:ascii="Times New Roman" w:hAnsi="Times New Roman"/>
          <w:sz w:val="20"/>
          <w:szCs w:val="20"/>
        </w:rPr>
        <w:t xml:space="preserve"> aktualne </w:t>
      </w:r>
      <w:r w:rsidR="00FC49EF" w:rsidRPr="004A1F15">
        <w:rPr>
          <w:rFonts w:ascii="Times New Roman" w:hAnsi="Times New Roman"/>
          <w:sz w:val="20"/>
          <w:szCs w:val="20"/>
        </w:rPr>
        <w:t>w</w:t>
      </w:r>
      <w:r w:rsidRPr="004A1F15">
        <w:rPr>
          <w:rFonts w:ascii="Times New Roman" w:hAnsi="Times New Roman"/>
          <w:sz w:val="20"/>
          <w:szCs w:val="20"/>
        </w:rPr>
        <w:t xml:space="preserve">ytyczne dotyczące założeń makroekonomicznych, o których mowa w art. 50a ustawy o finansach publicznych. </w:t>
      </w:r>
    </w:p>
    <w:p w14:paraId="4029F29F" w14:textId="77777777" w:rsidR="00E05A09" w:rsidRDefault="00422181" w:rsidP="00422181">
      <w:pPr>
        <w:spacing w:after="120"/>
        <w:ind w:left="357"/>
        <w:jc w:val="both"/>
        <w:rPr>
          <w:rFonts w:ascii="Times New Roman" w:hAnsi="Times New Roman"/>
          <w:color w:val="000000"/>
          <w:sz w:val="20"/>
          <w:szCs w:val="20"/>
        </w:rPr>
      </w:pPr>
      <w:r w:rsidRPr="004A1F15">
        <w:rPr>
          <w:rFonts w:ascii="Times New Roman" w:hAnsi="Times New Roman"/>
          <w:sz w:val="20"/>
          <w:szCs w:val="20"/>
        </w:rPr>
        <w:t>Jeśli to możliwe</w:t>
      </w:r>
      <w:r w:rsidRPr="0069486B">
        <w:rPr>
          <w:rFonts w:ascii="Times New Roman" w:hAnsi="Times New Roman"/>
          <w:sz w:val="20"/>
          <w:szCs w:val="20"/>
        </w:rPr>
        <w:t xml:space="preserve"> proszę wskaza</w:t>
      </w:r>
      <w:r w:rsidR="00D64C0F" w:rsidRPr="0069486B">
        <w:rPr>
          <w:rFonts w:ascii="Times New Roman" w:hAnsi="Times New Roman"/>
          <w:sz w:val="20"/>
          <w:szCs w:val="20"/>
        </w:rPr>
        <w:t>ć</w:t>
      </w:r>
      <w:r w:rsidRPr="0069486B">
        <w:rPr>
          <w:rFonts w:ascii="Times New Roman" w:hAnsi="Times New Roman"/>
          <w:sz w:val="20"/>
          <w:szCs w:val="20"/>
        </w:rPr>
        <w:t xml:space="preserve"> skumulowan</w:t>
      </w:r>
      <w:r w:rsidR="00D64C0F" w:rsidRPr="0069486B">
        <w:rPr>
          <w:rFonts w:ascii="Times New Roman" w:hAnsi="Times New Roman"/>
          <w:sz w:val="20"/>
          <w:szCs w:val="20"/>
        </w:rPr>
        <w:t>e</w:t>
      </w:r>
      <w:r w:rsidRPr="0069486B">
        <w:rPr>
          <w:rFonts w:ascii="Times New Roman" w:hAnsi="Times New Roman"/>
          <w:sz w:val="20"/>
          <w:szCs w:val="20"/>
        </w:rPr>
        <w:t xml:space="preserve"> koszt</w:t>
      </w:r>
      <w:r w:rsidR="00D64C0F" w:rsidRPr="0069486B">
        <w:rPr>
          <w:rFonts w:ascii="Times New Roman" w:hAnsi="Times New Roman"/>
          <w:sz w:val="20"/>
          <w:szCs w:val="20"/>
        </w:rPr>
        <w:t>y</w:t>
      </w:r>
      <w:r w:rsidRPr="0069486B">
        <w:rPr>
          <w:rFonts w:ascii="Times New Roman" w:hAnsi="Times New Roman"/>
          <w:sz w:val="20"/>
          <w:szCs w:val="20"/>
        </w:rPr>
        <w:t xml:space="preserve">/oszczędności. </w:t>
      </w:r>
      <w:r w:rsidRPr="0069486B">
        <w:rPr>
          <w:rFonts w:ascii="Times New Roman" w:hAnsi="Times New Roman"/>
          <w:color w:val="000000"/>
          <w:sz w:val="20"/>
          <w:szCs w:val="20"/>
        </w:rPr>
        <w:t xml:space="preserve">Prognozę </w:t>
      </w:r>
      <w:r w:rsidR="00187E79" w:rsidRPr="0069486B">
        <w:rPr>
          <w:rFonts w:ascii="Times New Roman" w:hAnsi="Times New Roman"/>
          <w:color w:val="000000"/>
          <w:sz w:val="20"/>
          <w:szCs w:val="20"/>
        </w:rPr>
        <w:t xml:space="preserve">proszę </w:t>
      </w:r>
      <w:r w:rsidRPr="0069486B">
        <w:rPr>
          <w:rFonts w:ascii="Times New Roman" w:hAnsi="Times New Roman"/>
          <w:color w:val="000000"/>
          <w:sz w:val="20"/>
          <w:szCs w:val="20"/>
        </w:rPr>
        <w:t>przeprowadzić w podziale na proponowane kategorie w horyzoncie 10</w:t>
      </w:r>
      <w:r w:rsidR="00187E79" w:rsidRPr="000D4D90">
        <w:rPr>
          <w:rFonts w:ascii="Times New Roman" w:hAnsi="Times New Roman"/>
          <w:color w:val="000000"/>
          <w:sz w:val="20"/>
          <w:szCs w:val="20"/>
        </w:rPr>
        <w:t>-</w:t>
      </w:r>
      <w:r w:rsidRPr="000D4D90">
        <w:rPr>
          <w:rFonts w:ascii="Times New Roman" w:hAnsi="Times New Roman"/>
          <w:color w:val="000000"/>
          <w:sz w:val="20"/>
          <w:szCs w:val="20"/>
        </w:rPr>
        <w:t>letnim, w wartościach stałych (np. ceny stałe dla pierwszego roku prognozy</w:t>
      </w:r>
      <w:r w:rsidR="004244A8">
        <w:rPr>
          <w:rFonts w:ascii="Times New Roman" w:hAnsi="Times New Roman"/>
          <w:color w:val="000000"/>
          <w:sz w:val="20"/>
          <w:szCs w:val="20"/>
        </w:rPr>
        <w:t>).</w:t>
      </w:r>
      <w:r w:rsidR="005D61D6">
        <w:rPr>
          <w:rFonts w:ascii="Times New Roman" w:hAnsi="Times New Roman"/>
          <w:color w:val="000000"/>
          <w:sz w:val="20"/>
          <w:szCs w:val="20"/>
        </w:rPr>
        <w:br/>
      </w:r>
      <w:r w:rsidR="000670C0" w:rsidRPr="00D95D16">
        <w:rPr>
          <w:rFonts w:ascii="Times New Roman" w:hAnsi="Times New Roman"/>
          <w:color w:val="000000"/>
          <w:sz w:val="20"/>
          <w:szCs w:val="20"/>
        </w:rPr>
        <w:t xml:space="preserve">W </w:t>
      </w:r>
      <w:proofErr w:type="gramStart"/>
      <w:r w:rsidR="000670C0" w:rsidRPr="00D95D16">
        <w:rPr>
          <w:rFonts w:ascii="Times New Roman" w:hAnsi="Times New Roman"/>
          <w:color w:val="000000"/>
          <w:sz w:val="20"/>
          <w:szCs w:val="20"/>
        </w:rPr>
        <w:t>przypadku</w:t>
      </w:r>
      <w:proofErr w:type="gramEnd"/>
      <w:r w:rsidR="000670C0">
        <w:rPr>
          <w:rFonts w:ascii="Times New Roman" w:hAnsi="Times New Roman"/>
          <w:color w:val="000000"/>
          <w:sz w:val="20"/>
          <w:szCs w:val="20"/>
        </w:rPr>
        <w:t xml:space="preserve"> </w:t>
      </w:r>
      <w:r w:rsidR="00BB0DCA">
        <w:rPr>
          <w:rFonts w:ascii="Times New Roman" w:hAnsi="Times New Roman"/>
          <w:color w:val="000000"/>
          <w:sz w:val="20"/>
          <w:szCs w:val="20"/>
        </w:rPr>
        <w:t>gdy</w:t>
      </w:r>
      <w:r w:rsidR="000670C0">
        <w:rPr>
          <w:rFonts w:ascii="Times New Roman" w:hAnsi="Times New Roman"/>
          <w:color w:val="000000"/>
          <w:sz w:val="20"/>
          <w:szCs w:val="20"/>
        </w:rPr>
        <w:t xml:space="preserve"> analiza wpływu obejmuje dłuższy niż 10-letni horyzont (np. zmiany w systemie emerytalnym), możliwe jest dostosowanie kolumn tabeli do horyzontu projektu</w:t>
      </w:r>
      <w:r w:rsidRPr="00422181">
        <w:rPr>
          <w:rFonts w:ascii="Times New Roman" w:hAnsi="Times New Roman"/>
          <w:color w:val="000000"/>
          <w:sz w:val="20"/>
          <w:szCs w:val="20"/>
        </w:rPr>
        <w:t xml:space="preserve">. </w:t>
      </w:r>
    </w:p>
    <w:p w14:paraId="55FB6B4C" w14:textId="77777777" w:rsidR="00E05A09" w:rsidRDefault="00422181" w:rsidP="00422181">
      <w:pPr>
        <w:spacing w:after="120"/>
        <w:ind w:left="357"/>
        <w:jc w:val="both"/>
        <w:rPr>
          <w:rFonts w:ascii="Times New Roman" w:hAnsi="Times New Roman"/>
          <w:color w:val="000000"/>
          <w:sz w:val="20"/>
          <w:szCs w:val="20"/>
        </w:rPr>
      </w:pPr>
      <w:r w:rsidRPr="00422181">
        <w:rPr>
          <w:rFonts w:ascii="Times New Roman" w:hAnsi="Times New Roman"/>
          <w:color w:val="000000"/>
          <w:sz w:val="20"/>
          <w:szCs w:val="20"/>
        </w:rPr>
        <w:t xml:space="preserve">Jeżeli obliczenia </w:t>
      </w:r>
      <w:r w:rsidR="00187E79">
        <w:rPr>
          <w:rFonts w:ascii="Times New Roman" w:hAnsi="Times New Roman"/>
          <w:color w:val="000000"/>
          <w:sz w:val="20"/>
          <w:szCs w:val="20"/>
        </w:rPr>
        <w:t xml:space="preserve">zostały </w:t>
      </w:r>
      <w:r w:rsidRPr="00422181">
        <w:rPr>
          <w:rFonts w:ascii="Times New Roman" w:hAnsi="Times New Roman"/>
          <w:color w:val="000000"/>
          <w:sz w:val="20"/>
          <w:szCs w:val="20"/>
        </w:rPr>
        <w:t>wykonane na podstawie opracowania własnego</w:t>
      </w:r>
      <w:r w:rsidR="00187E79">
        <w:rPr>
          <w:rFonts w:ascii="Times New Roman" w:hAnsi="Times New Roman"/>
          <w:color w:val="000000"/>
          <w:sz w:val="20"/>
          <w:szCs w:val="20"/>
        </w:rPr>
        <w:t>,</w:t>
      </w:r>
      <w:r w:rsidRPr="00422181">
        <w:rPr>
          <w:rFonts w:ascii="Times New Roman" w:hAnsi="Times New Roman"/>
          <w:color w:val="000000"/>
          <w:sz w:val="20"/>
          <w:szCs w:val="20"/>
        </w:rPr>
        <w:t xml:space="preserve"> </w:t>
      </w:r>
      <w:r w:rsidR="00187E79">
        <w:rPr>
          <w:rFonts w:ascii="Times New Roman" w:hAnsi="Times New Roman"/>
          <w:color w:val="000000"/>
          <w:sz w:val="20"/>
          <w:szCs w:val="20"/>
        </w:rPr>
        <w:t>proszę</w:t>
      </w:r>
      <w:r w:rsidR="00187E79" w:rsidRPr="00422181">
        <w:rPr>
          <w:rFonts w:ascii="Times New Roman" w:hAnsi="Times New Roman"/>
          <w:color w:val="000000"/>
          <w:sz w:val="20"/>
          <w:szCs w:val="20"/>
        </w:rPr>
        <w:t xml:space="preserve"> </w:t>
      </w:r>
      <w:r w:rsidR="00187E79">
        <w:rPr>
          <w:rFonts w:ascii="Times New Roman" w:hAnsi="Times New Roman"/>
          <w:color w:val="000000"/>
          <w:sz w:val="20"/>
          <w:szCs w:val="20"/>
        </w:rPr>
        <w:t xml:space="preserve">je przedstawić w formie załącznika oraz </w:t>
      </w:r>
      <w:r w:rsidRPr="00422181">
        <w:rPr>
          <w:rFonts w:ascii="Times New Roman" w:hAnsi="Times New Roman"/>
          <w:color w:val="000000"/>
          <w:sz w:val="20"/>
          <w:szCs w:val="20"/>
        </w:rPr>
        <w:t xml:space="preserve">wskazać </w:t>
      </w:r>
      <w:r w:rsidR="00187E79">
        <w:rPr>
          <w:rFonts w:ascii="Times New Roman" w:hAnsi="Times New Roman"/>
          <w:color w:val="000000"/>
          <w:sz w:val="20"/>
          <w:szCs w:val="20"/>
        </w:rPr>
        <w:t xml:space="preserve">to </w:t>
      </w:r>
      <w:r w:rsidRPr="00422181">
        <w:rPr>
          <w:rFonts w:ascii="Times New Roman" w:hAnsi="Times New Roman"/>
          <w:color w:val="000000"/>
          <w:sz w:val="20"/>
          <w:szCs w:val="20"/>
        </w:rPr>
        <w:t xml:space="preserve">opracowanie w </w:t>
      </w:r>
      <w:r w:rsidR="00187E79">
        <w:rPr>
          <w:rFonts w:ascii="Times New Roman" w:hAnsi="Times New Roman"/>
          <w:color w:val="000000"/>
          <w:sz w:val="20"/>
          <w:szCs w:val="20"/>
        </w:rPr>
        <w:t>pkt</w:t>
      </w:r>
      <w:r w:rsidRPr="00422181">
        <w:rPr>
          <w:rFonts w:ascii="Times New Roman" w:hAnsi="Times New Roman"/>
          <w:color w:val="000000"/>
          <w:sz w:val="20"/>
          <w:szCs w:val="20"/>
        </w:rPr>
        <w:t xml:space="preserve"> 13. </w:t>
      </w:r>
    </w:p>
    <w:p w14:paraId="62C3C912" w14:textId="77777777" w:rsidR="00BB2666" w:rsidRDefault="00BB2666" w:rsidP="00801F71">
      <w:pPr>
        <w:spacing w:after="120"/>
        <w:ind w:left="357"/>
        <w:jc w:val="both"/>
        <w:rPr>
          <w:rFonts w:ascii="Times New Roman" w:hAnsi="Times New Roman"/>
          <w:color w:val="000000"/>
          <w:sz w:val="20"/>
          <w:szCs w:val="20"/>
        </w:rPr>
      </w:pPr>
      <w:r>
        <w:rPr>
          <w:rFonts w:ascii="Times New Roman" w:hAnsi="Times New Roman"/>
          <w:color w:val="000000"/>
          <w:sz w:val="20"/>
          <w:szCs w:val="20"/>
        </w:rPr>
        <w:t>W opracowywanej analizie wpływu, co do zasady, należy przyjąć kalkulację w cenach stałych. W przypadku zastosowania cen bieżących, prezentacja skutków finansowych powinna uwzględniać wska</w:t>
      </w:r>
      <w:r w:rsidR="00300991">
        <w:rPr>
          <w:rFonts w:ascii="Times New Roman" w:hAnsi="Times New Roman"/>
          <w:color w:val="000000"/>
          <w:sz w:val="20"/>
          <w:szCs w:val="20"/>
        </w:rPr>
        <w:t>źniki makroekonomiczne podawane</w:t>
      </w:r>
      <w:r w:rsidR="00300991">
        <w:rPr>
          <w:rFonts w:ascii="Times New Roman" w:hAnsi="Times New Roman"/>
          <w:color w:val="000000"/>
          <w:sz w:val="20"/>
          <w:szCs w:val="20"/>
        </w:rPr>
        <w:br/>
      </w:r>
      <w:r>
        <w:rPr>
          <w:rFonts w:ascii="Times New Roman" w:hAnsi="Times New Roman"/>
          <w:color w:val="000000"/>
          <w:sz w:val="20"/>
          <w:szCs w:val="20"/>
        </w:rPr>
        <w:t xml:space="preserve">w </w:t>
      </w:r>
      <w:hyperlink r:id="rId12" w:anchor="p_p_id_101_INSTANCE_S0gu_" w:history="1">
        <w:r>
          <w:rPr>
            <w:rStyle w:val="Hipercze"/>
            <w:rFonts w:ascii="Times New Roman" w:hAnsi="Times New Roman"/>
            <w:i/>
            <w:sz w:val="20"/>
            <w:szCs w:val="20"/>
          </w:rPr>
          <w:t>Wytycznych dotyczących stosowania jednolitych wskaźników makroekonomicznych będących podstawą oszacowania skutków finansowych projektowanych ustaw</w:t>
        </w:r>
      </w:hyperlink>
      <w:r>
        <w:rPr>
          <w:rFonts w:ascii="Times New Roman" w:hAnsi="Times New Roman"/>
          <w:color w:val="000000"/>
          <w:sz w:val="20"/>
          <w:szCs w:val="20"/>
        </w:rPr>
        <w:t>. Jeżeli nie zastosowano wskaźni</w:t>
      </w:r>
      <w:r w:rsidR="00300991">
        <w:rPr>
          <w:rFonts w:ascii="Times New Roman" w:hAnsi="Times New Roman"/>
          <w:color w:val="000000"/>
          <w:sz w:val="20"/>
          <w:szCs w:val="20"/>
        </w:rPr>
        <w:t>ków makroekonomicznych podanych</w:t>
      </w:r>
      <w:r w:rsidR="00300991">
        <w:rPr>
          <w:rFonts w:ascii="Times New Roman" w:hAnsi="Times New Roman"/>
          <w:color w:val="000000"/>
          <w:sz w:val="20"/>
          <w:szCs w:val="20"/>
        </w:rPr>
        <w:br/>
      </w:r>
      <w:r>
        <w:rPr>
          <w:rFonts w:ascii="Times New Roman" w:hAnsi="Times New Roman"/>
          <w:color w:val="000000"/>
          <w:sz w:val="20"/>
          <w:szCs w:val="20"/>
        </w:rPr>
        <w:t xml:space="preserve">w </w:t>
      </w:r>
      <w:hyperlink r:id="rId13" w:history="1">
        <w:r>
          <w:rPr>
            <w:rStyle w:val="Hipercze"/>
            <w:rFonts w:ascii="Times New Roman" w:hAnsi="Times New Roman"/>
            <w:i/>
            <w:sz w:val="20"/>
            <w:szCs w:val="20"/>
          </w:rPr>
          <w:t>Wytycznych MF</w:t>
        </w:r>
      </w:hyperlink>
      <w:r>
        <w:rPr>
          <w:rFonts w:ascii="Times New Roman" w:hAnsi="Times New Roman"/>
          <w:color w:val="000000"/>
          <w:sz w:val="20"/>
          <w:szCs w:val="20"/>
        </w:rPr>
        <w:t>, proszę  dołączyć stosowną informację wyjaśniającą.</w:t>
      </w:r>
    </w:p>
    <w:p w14:paraId="771AAFD2" w14:textId="77777777" w:rsidR="00422181" w:rsidRDefault="0084314C" w:rsidP="00422181">
      <w:pPr>
        <w:spacing w:after="120"/>
        <w:ind w:left="357"/>
        <w:jc w:val="both"/>
        <w:rPr>
          <w:rFonts w:ascii="Times New Roman" w:hAnsi="Times New Roman"/>
          <w:color w:val="000000"/>
          <w:sz w:val="20"/>
          <w:szCs w:val="20"/>
        </w:rPr>
      </w:pPr>
      <w:r>
        <w:rPr>
          <w:rFonts w:ascii="Times New Roman" w:hAnsi="Times New Roman"/>
          <w:color w:val="000000"/>
          <w:sz w:val="20"/>
          <w:szCs w:val="20"/>
        </w:rPr>
        <w:t xml:space="preserve">Proszę wskazać źródła finansowania planowanych wydatków. </w:t>
      </w:r>
      <w:r w:rsidR="00187E79">
        <w:rPr>
          <w:rFonts w:ascii="Times New Roman" w:hAnsi="Times New Roman"/>
          <w:color w:val="000000"/>
          <w:sz w:val="20"/>
          <w:szCs w:val="20"/>
        </w:rPr>
        <w:t>Proszę</w:t>
      </w:r>
      <w:r w:rsidR="00187E79" w:rsidRPr="00422181">
        <w:rPr>
          <w:rFonts w:ascii="Times New Roman" w:hAnsi="Times New Roman"/>
          <w:color w:val="000000"/>
          <w:sz w:val="20"/>
          <w:szCs w:val="20"/>
        </w:rPr>
        <w:t xml:space="preserve"> </w:t>
      </w:r>
      <w:r w:rsidR="00422181" w:rsidRPr="00422181">
        <w:rPr>
          <w:rFonts w:ascii="Times New Roman" w:hAnsi="Times New Roman"/>
          <w:color w:val="000000"/>
          <w:sz w:val="20"/>
          <w:szCs w:val="20"/>
        </w:rPr>
        <w:t xml:space="preserve">wskazać również wszystkie </w:t>
      </w:r>
      <w:r w:rsidR="004244A8">
        <w:rPr>
          <w:rFonts w:ascii="Times New Roman" w:hAnsi="Times New Roman"/>
          <w:color w:val="000000"/>
          <w:sz w:val="20"/>
          <w:szCs w:val="20"/>
        </w:rPr>
        <w:t>przyjęte do obliczeń</w:t>
      </w:r>
      <w:r w:rsidR="004244A8" w:rsidRPr="00422181">
        <w:rPr>
          <w:rFonts w:ascii="Times New Roman" w:hAnsi="Times New Roman"/>
          <w:color w:val="000000"/>
          <w:sz w:val="20"/>
          <w:szCs w:val="20"/>
        </w:rPr>
        <w:t xml:space="preserve"> </w:t>
      </w:r>
      <w:r w:rsidR="00422181" w:rsidRPr="00422181">
        <w:rPr>
          <w:rFonts w:ascii="Times New Roman" w:hAnsi="Times New Roman"/>
          <w:color w:val="000000"/>
          <w:sz w:val="20"/>
          <w:szCs w:val="20"/>
        </w:rPr>
        <w:t>założenia</w:t>
      </w:r>
      <w:r w:rsidR="00567963">
        <w:rPr>
          <w:rFonts w:ascii="Times New Roman" w:hAnsi="Times New Roman"/>
          <w:color w:val="000000"/>
          <w:sz w:val="20"/>
          <w:szCs w:val="20"/>
        </w:rPr>
        <w:t xml:space="preserve"> i źródła danych</w:t>
      </w:r>
      <w:r w:rsidR="004244A8">
        <w:rPr>
          <w:rFonts w:ascii="Times New Roman" w:hAnsi="Times New Roman"/>
          <w:color w:val="000000"/>
          <w:sz w:val="20"/>
          <w:szCs w:val="20"/>
        </w:rPr>
        <w:t>.</w:t>
      </w:r>
    </w:p>
    <w:p w14:paraId="50191F33" w14:textId="77777777" w:rsidR="00E05A09" w:rsidRDefault="005473F5" w:rsidP="00422181">
      <w:pPr>
        <w:spacing w:after="120"/>
        <w:ind w:left="357"/>
        <w:jc w:val="both"/>
        <w:rPr>
          <w:rFonts w:ascii="Times New Roman" w:hAnsi="Times New Roman"/>
          <w:sz w:val="20"/>
          <w:szCs w:val="20"/>
        </w:rPr>
      </w:pPr>
      <w:r w:rsidRPr="005473F5">
        <w:rPr>
          <w:rFonts w:ascii="Times New Roman" w:hAnsi="Times New Roman"/>
          <w:sz w:val="20"/>
          <w:szCs w:val="20"/>
        </w:rPr>
        <w:t xml:space="preserve">Skutki proszę skalkulować dla roku wejścia w życie regulacji (0), a następnie w </w:t>
      </w:r>
      <w:r w:rsidR="002172F1">
        <w:rPr>
          <w:rFonts w:ascii="Times New Roman" w:hAnsi="Times New Roman"/>
          <w:sz w:val="20"/>
          <w:szCs w:val="20"/>
        </w:rPr>
        <w:t>kolejnych latach</w:t>
      </w:r>
      <w:r w:rsidR="00441787">
        <w:rPr>
          <w:rFonts w:ascii="Times New Roman" w:hAnsi="Times New Roman"/>
          <w:sz w:val="20"/>
          <w:szCs w:val="20"/>
        </w:rPr>
        <w:t xml:space="preserve"> jej obowiązywania.</w:t>
      </w:r>
      <w:r w:rsidR="00441787">
        <w:rPr>
          <w:rFonts w:ascii="Times New Roman" w:hAnsi="Times New Roman"/>
          <w:sz w:val="20"/>
          <w:szCs w:val="20"/>
        </w:rPr>
        <w:br/>
      </w:r>
      <w:r w:rsidRPr="005473F5">
        <w:rPr>
          <w:rFonts w:ascii="Times New Roman" w:hAnsi="Times New Roman"/>
          <w:sz w:val="20"/>
          <w:szCs w:val="20"/>
        </w:rPr>
        <w:t xml:space="preserve">W kolumnie </w:t>
      </w:r>
      <w:r w:rsidRPr="00EF7A2D">
        <w:rPr>
          <w:rFonts w:ascii="Times New Roman" w:hAnsi="Times New Roman"/>
          <w:i/>
          <w:sz w:val="20"/>
          <w:szCs w:val="20"/>
        </w:rPr>
        <w:t>Łącznie</w:t>
      </w:r>
      <w:r w:rsidRPr="005473F5">
        <w:rPr>
          <w:rFonts w:ascii="Times New Roman" w:hAnsi="Times New Roman"/>
          <w:sz w:val="20"/>
          <w:szCs w:val="20"/>
        </w:rPr>
        <w:t xml:space="preserve"> proszę wpisać skumulowane skutki za okres 10 lat obowiązywania regulacji.</w:t>
      </w:r>
    </w:p>
    <w:p w14:paraId="246F6B0E" w14:textId="77777777" w:rsidR="00917AAE" w:rsidRDefault="0069486B" w:rsidP="00917AAE">
      <w:pPr>
        <w:spacing w:after="120"/>
        <w:ind w:left="360"/>
        <w:jc w:val="both"/>
        <w:rPr>
          <w:rFonts w:ascii="Times New Roman" w:hAnsi="Times New Roman"/>
          <w:sz w:val="20"/>
          <w:szCs w:val="20"/>
        </w:rPr>
      </w:pPr>
      <w:r>
        <w:rPr>
          <w:rFonts w:ascii="Times New Roman" w:hAnsi="Times New Roman"/>
          <w:sz w:val="20"/>
          <w:szCs w:val="20"/>
        </w:rPr>
        <w:t xml:space="preserve">Jeżeli projekt ma charakter przekrojowy i dotyczy wielu zagadnień (np. ustawa deregulująca zawody, ustawa o ułatwieniu wykonywania działalności gospodarczej) proszę dokonać </w:t>
      </w:r>
      <w:r w:rsidR="00917AAE">
        <w:rPr>
          <w:rFonts w:ascii="Times New Roman" w:hAnsi="Times New Roman"/>
          <w:sz w:val="20"/>
          <w:szCs w:val="20"/>
        </w:rPr>
        <w:t xml:space="preserve">analizy </w:t>
      </w:r>
      <w:r w:rsidR="00BB0DCA">
        <w:rPr>
          <w:rFonts w:ascii="Times New Roman" w:hAnsi="Times New Roman"/>
          <w:sz w:val="20"/>
          <w:szCs w:val="20"/>
        </w:rPr>
        <w:t xml:space="preserve">wpływu </w:t>
      </w:r>
      <w:r w:rsidR="00917AAE">
        <w:rPr>
          <w:rFonts w:ascii="Times New Roman" w:hAnsi="Times New Roman"/>
          <w:sz w:val="20"/>
          <w:szCs w:val="20"/>
        </w:rPr>
        <w:t>na SFP dla najważniejszych zmian.</w:t>
      </w:r>
    </w:p>
    <w:p w14:paraId="3FC39CF0" w14:textId="77777777" w:rsidR="00522D94" w:rsidRPr="009B2BCF" w:rsidRDefault="00522D94" w:rsidP="00522D94">
      <w:pPr>
        <w:numPr>
          <w:ilvl w:val="0"/>
          <w:numId w:val="9"/>
        </w:numPr>
        <w:spacing w:after="120" w:line="240" w:lineRule="auto"/>
        <w:jc w:val="both"/>
        <w:rPr>
          <w:rFonts w:ascii="Times New Roman" w:hAnsi="Times New Roman"/>
          <w:b/>
          <w:sz w:val="20"/>
          <w:szCs w:val="20"/>
        </w:rPr>
      </w:pPr>
      <w:r w:rsidRPr="009B2BCF">
        <w:rPr>
          <w:rFonts w:ascii="Times New Roman" w:hAnsi="Times New Roman"/>
          <w:b/>
          <w:color w:val="000000"/>
          <w:spacing w:val="-2"/>
          <w:sz w:val="20"/>
          <w:szCs w:val="20"/>
        </w:rPr>
        <w:t xml:space="preserve">Wpływ na </w:t>
      </w:r>
      <w:r w:rsidRPr="009B2BCF">
        <w:rPr>
          <w:rFonts w:ascii="Times New Roman" w:hAnsi="Times New Roman"/>
          <w:b/>
          <w:color w:val="000000"/>
          <w:sz w:val="20"/>
          <w:szCs w:val="20"/>
        </w:rPr>
        <w:t>konkurencyjność gospodarki i przedsiębiorczość, w tym funkcjonowanie przedsiębiorców oraz na</w:t>
      </w:r>
      <w:r w:rsidR="00BB0DCA">
        <w:rPr>
          <w:rFonts w:ascii="Times New Roman" w:hAnsi="Times New Roman"/>
          <w:b/>
          <w:color w:val="000000"/>
          <w:sz w:val="20"/>
          <w:szCs w:val="20"/>
        </w:rPr>
        <w:t xml:space="preserve"> rodzinę,</w:t>
      </w:r>
      <w:r w:rsidRPr="009B2BCF">
        <w:rPr>
          <w:rFonts w:ascii="Times New Roman" w:hAnsi="Times New Roman"/>
          <w:b/>
          <w:color w:val="000000"/>
          <w:sz w:val="20"/>
          <w:szCs w:val="20"/>
        </w:rPr>
        <w:t xml:space="preserve"> obywateli i gospodarstwa domowe</w:t>
      </w:r>
    </w:p>
    <w:p w14:paraId="59378B81" w14:textId="77777777" w:rsidR="00AE472C" w:rsidRDefault="00AE472C" w:rsidP="00AE472C">
      <w:pPr>
        <w:spacing w:line="240" w:lineRule="auto"/>
        <w:ind w:left="360"/>
        <w:jc w:val="both"/>
        <w:rPr>
          <w:rFonts w:ascii="Times New Roman" w:hAnsi="Times New Roman"/>
          <w:color w:val="000000"/>
          <w:sz w:val="20"/>
          <w:szCs w:val="20"/>
        </w:rPr>
      </w:pPr>
      <w:r>
        <w:rPr>
          <w:rFonts w:ascii="Times New Roman" w:hAnsi="Times New Roman"/>
          <w:color w:val="000000"/>
          <w:sz w:val="20"/>
          <w:szCs w:val="20"/>
        </w:rPr>
        <w:t xml:space="preserve">Proszę oszacować </w:t>
      </w:r>
      <w:r w:rsidR="004244A8">
        <w:rPr>
          <w:rFonts w:ascii="Times New Roman" w:hAnsi="Times New Roman"/>
          <w:color w:val="000000"/>
          <w:sz w:val="20"/>
          <w:szCs w:val="20"/>
        </w:rPr>
        <w:t xml:space="preserve">wpływ na </w:t>
      </w:r>
      <w:r>
        <w:rPr>
          <w:rFonts w:ascii="Times New Roman" w:hAnsi="Times New Roman"/>
          <w:color w:val="000000"/>
          <w:sz w:val="20"/>
          <w:szCs w:val="20"/>
        </w:rPr>
        <w:t>konkurencyjnoś</w:t>
      </w:r>
      <w:r w:rsidR="004244A8">
        <w:rPr>
          <w:rFonts w:ascii="Times New Roman" w:hAnsi="Times New Roman"/>
          <w:color w:val="000000"/>
          <w:sz w:val="20"/>
          <w:szCs w:val="20"/>
        </w:rPr>
        <w:t>ć</w:t>
      </w:r>
      <w:r>
        <w:rPr>
          <w:rFonts w:ascii="Times New Roman" w:hAnsi="Times New Roman"/>
          <w:color w:val="000000"/>
          <w:sz w:val="20"/>
          <w:szCs w:val="20"/>
        </w:rPr>
        <w:t xml:space="preserve"> </w:t>
      </w:r>
      <w:r w:rsidR="003E720A">
        <w:rPr>
          <w:rFonts w:ascii="Times New Roman" w:hAnsi="Times New Roman"/>
          <w:color w:val="000000"/>
          <w:sz w:val="20"/>
          <w:szCs w:val="20"/>
        </w:rPr>
        <w:t>gospodarki</w:t>
      </w:r>
      <w:r w:rsidR="004244A8">
        <w:rPr>
          <w:rFonts w:ascii="Times New Roman" w:hAnsi="Times New Roman"/>
          <w:color w:val="000000"/>
          <w:sz w:val="20"/>
          <w:szCs w:val="20"/>
        </w:rPr>
        <w:t>,</w:t>
      </w:r>
      <w:r>
        <w:rPr>
          <w:rFonts w:ascii="Times New Roman" w:hAnsi="Times New Roman"/>
          <w:color w:val="000000"/>
          <w:sz w:val="20"/>
          <w:szCs w:val="20"/>
        </w:rPr>
        <w:t xml:space="preserve"> przedsiębiorczości </w:t>
      </w:r>
      <w:r w:rsidR="004244A8">
        <w:rPr>
          <w:rFonts w:ascii="Times New Roman" w:hAnsi="Times New Roman"/>
          <w:color w:val="000000"/>
          <w:sz w:val="20"/>
          <w:szCs w:val="20"/>
        </w:rPr>
        <w:t xml:space="preserve">oraz na </w:t>
      </w:r>
      <w:r w:rsidR="0066091B">
        <w:rPr>
          <w:rFonts w:ascii="Times New Roman" w:hAnsi="Times New Roman"/>
          <w:color w:val="000000"/>
          <w:sz w:val="20"/>
          <w:szCs w:val="20"/>
        </w:rPr>
        <w:t>sytuacj</w:t>
      </w:r>
      <w:r w:rsidR="00B7770F">
        <w:rPr>
          <w:rFonts w:ascii="Times New Roman" w:hAnsi="Times New Roman"/>
          <w:color w:val="000000"/>
          <w:sz w:val="20"/>
          <w:szCs w:val="20"/>
        </w:rPr>
        <w:t>ę</w:t>
      </w:r>
      <w:r w:rsidR="00EF7A2D">
        <w:rPr>
          <w:rFonts w:ascii="Times New Roman" w:hAnsi="Times New Roman"/>
          <w:color w:val="000000"/>
          <w:sz w:val="20"/>
          <w:szCs w:val="20"/>
        </w:rPr>
        <w:t xml:space="preserve"> </w:t>
      </w:r>
      <w:r w:rsidR="002172F1">
        <w:rPr>
          <w:rFonts w:ascii="Times New Roman" w:hAnsi="Times New Roman"/>
          <w:color w:val="000000"/>
          <w:sz w:val="20"/>
          <w:szCs w:val="20"/>
        </w:rPr>
        <w:t>rodziny</w:t>
      </w:r>
      <w:r w:rsidR="00D218DC">
        <w:rPr>
          <w:rFonts w:ascii="Times New Roman" w:hAnsi="Times New Roman"/>
          <w:color w:val="000000"/>
          <w:sz w:val="20"/>
          <w:szCs w:val="20"/>
        </w:rPr>
        <w:t xml:space="preserve">. </w:t>
      </w:r>
      <w:r w:rsidR="00EF7A2D">
        <w:rPr>
          <w:rFonts w:ascii="Times New Roman" w:hAnsi="Times New Roman"/>
          <w:color w:val="000000"/>
          <w:sz w:val="20"/>
          <w:szCs w:val="20"/>
        </w:rPr>
        <w:t xml:space="preserve">Skutki należy przypisać </w:t>
      </w:r>
      <w:r w:rsidR="00D218DC">
        <w:rPr>
          <w:rFonts w:ascii="Times New Roman" w:hAnsi="Times New Roman"/>
          <w:color w:val="000000"/>
          <w:sz w:val="20"/>
          <w:szCs w:val="20"/>
        </w:rPr>
        <w:t xml:space="preserve">do odpowiedniej grupy </w:t>
      </w:r>
      <w:r w:rsidR="00EF7A2D">
        <w:rPr>
          <w:rFonts w:ascii="Times New Roman" w:hAnsi="Times New Roman"/>
          <w:color w:val="000000"/>
          <w:sz w:val="20"/>
          <w:szCs w:val="20"/>
        </w:rPr>
        <w:t>w tabeli</w:t>
      </w:r>
      <w:r w:rsidR="00D218DC">
        <w:rPr>
          <w:rFonts w:ascii="Times New Roman" w:hAnsi="Times New Roman"/>
          <w:color w:val="000000"/>
          <w:sz w:val="20"/>
          <w:szCs w:val="20"/>
        </w:rPr>
        <w:t xml:space="preserve">. </w:t>
      </w:r>
    </w:p>
    <w:p w14:paraId="1A5EA256" w14:textId="77777777" w:rsidR="00AE472C" w:rsidRDefault="00AE472C" w:rsidP="004A145E">
      <w:pPr>
        <w:spacing w:after="120" w:line="240" w:lineRule="auto"/>
        <w:ind w:left="357"/>
        <w:jc w:val="both"/>
        <w:rPr>
          <w:rFonts w:ascii="Times New Roman" w:hAnsi="Times New Roman"/>
          <w:color w:val="000000"/>
          <w:sz w:val="20"/>
          <w:szCs w:val="20"/>
        </w:rPr>
      </w:pPr>
      <w:r>
        <w:rPr>
          <w:rFonts w:ascii="Times New Roman" w:hAnsi="Times New Roman"/>
          <w:color w:val="000000"/>
          <w:sz w:val="20"/>
          <w:szCs w:val="20"/>
        </w:rPr>
        <w:t xml:space="preserve">W </w:t>
      </w:r>
      <w:proofErr w:type="gramStart"/>
      <w:r>
        <w:rPr>
          <w:rFonts w:ascii="Times New Roman" w:hAnsi="Times New Roman"/>
          <w:color w:val="000000"/>
          <w:sz w:val="20"/>
          <w:szCs w:val="20"/>
        </w:rPr>
        <w:t>przypadku</w:t>
      </w:r>
      <w:proofErr w:type="gramEnd"/>
      <w:r>
        <w:rPr>
          <w:rFonts w:ascii="Times New Roman" w:hAnsi="Times New Roman"/>
          <w:color w:val="000000"/>
          <w:sz w:val="20"/>
          <w:szCs w:val="20"/>
        </w:rPr>
        <w:t xml:space="preserve"> </w:t>
      </w:r>
      <w:r w:rsidR="00BB0DCA">
        <w:rPr>
          <w:rFonts w:ascii="Times New Roman" w:hAnsi="Times New Roman"/>
          <w:color w:val="000000"/>
          <w:sz w:val="20"/>
          <w:szCs w:val="20"/>
        </w:rPr>
        <w:t>gdy</w:t>
      </w:r>
      <w:r>
        <w:rPr>
          <w:rFonts w:ascii="Times New Roman" w:hAnsi="Times New Roman"/>
          <w:color w:val="000000"/>
          <w:sz w:val="20"/>
          <w:szCs w:val="20"/>
        </w:rPr>
        <w:t xml:space="preserve"> regulacja będzie oddziaływać na inne niż wymienione w formularzu podmioty proszę odpowiednio </w:t>
      </w:r>
      <w:r w:rsidR="00BB0DCA">
        <w:rPr>
          <w:rFonts w:ascii="Times New Roman" w:hAnsi="Times New Roman"/>
          <w:color w:val="000000"/>
          <w:sz w:val="20"/>
          <w:szCs w:val="20"/>
        </w:rPr>
        <w:t>uzupełnić</w:t>
      </w:r>
      <w:r>
        <w:rPr>
          <w:rFonts w:ascii="Times New Roman" w:hAnsi="Times New Roman"/>
          <w:color w:val="000000"/>
          <w:sz w:val="20"/>
          <w:szCs w:val="20"/>
        </w:rPr>
        <w:t xml:space="preserve"> formularz.</w:t>
      </w:r>
    </w:p>
    <w:p w14:paraId="32956285" w14:textId="77777777" w:rsidR="00AE472C" w:rsidRDefault="004244A8" w:rsidP="004A145E">
      <w:pPr>
        <w:spacing w:after="120" w:line="240" w:lineRule="auto"/>
        <w:ind w:left="357"/>
        <w:jc w:val="both"/>
        <w:rPr>
          <w:rFonts w:ascii="Times New Roman" w:hAnsi="Times New Roman"/>
          <w:color w:val="000000"/>
          <w:sz w:val="20"/>
          <w:szCs w:val="20"/>
        </w:rPr>
      </w:pPr>
      <w:r>
        <w:rPr>
          <w:rFonts w:ascii="Times New Roman" w:hAnsi="Times New Roman"/>
          <w:color w:val="000000"/>
          <w:sz w:val="20"/>
          <w:szCs w:val="20"/>
        </w:rPr>
        <w:t>P</w:t>
      </w:r>
      <w:r w:rsidR="00AE472C">
        <w:rPr>
          <w:rFonts w:ascii="Times New Roman" w:hAnsi="Times New Roman"/>
          <w:color w:val="000000"/>
          <w:sz w:val="20"/>
          <w:szCs w:val="20"/>
        </w:rPr>
        <w:t xml:space="preserve">roszę wskazać wartość finansową, z uwzględnieniem m.in. kosztów </w:t>
      </w:r>
      <w:r>
        <w:rPr>
          <w:rFonts w:ascii="Times New Roman" w:hAnsi="Times New Roman"/>
          <w:color w:val="000000"/>
          <w:sz w:val="20"/>
          <w:szCs w:val="20"/>
        </w:rPr>
        <w:t>ponoszonych w związku z wejściem w życie aktu</w:t>
      </w:r>
      <w:r w:rsidR="00AE472C">
        <w:rPr>
          <w:rFonts w:ascii="Times New Roman" w:hAnsi="Times New Roman"/>
          <w:color w:val="000000"/>
          <w:sz w:val="20"/>
          <w:szCs w:val="20"/>
        </w:rPr>
        <w:t xml:space="preserve"> (np. koszt aktualizacji systemów informatycznych, zakupu nowych urządzeń), podatków i opłat lokalnych, itp.</w:t>
      </w:r>
      <w:r w:rsidR="002172F1">
        <w:rPr>
          <w:rFonts w:ascii="Times New Roman" w:hAnsi="Times New Roman"/>
          <w:color w:val="000000"/>
          <w:sz w:val="20"/>
          <w:szCs w:val="20"/>
        </w:rPr>
        <w:t xml:space="preserve"> </w:t>
      </w:r>
    </w:p>
    <w:p w14:paraId="532CBFCB" w14:textId="77777777" w:rsidR="002172F1" w:rsidRDefault="002172F1" w:rsidP="004A145E">
      <w:pPr>
        <w:spacing w:after="120" w:line="240" w:lineRule="auto"/>
        <w:ind w:left="357"/>
        <w:jc w:val="both"/>
        <w:rPr>
          <w:rFonts w:ascii="Times New Roman" w:hAnsi="Times New Roman"/>
          <w:color w:val="000000"/>
          <w:sz w:val="20"/>
          <w:szCs w:val="20"/>
        </w:rPr>
      </w:pPr>
      <w:r w:rsidRPr="00EE137C">
        <w:rPr>
          <w:rFonts w:ascii="Times New Roman" w:hAnsi="Times New Roman"/>
          <w:color w:val="000000"/>
          <w:sz w:val="20"/>
          <w:szCs w:val="20"/>
        </w:rPr>
        <w:t xml:space="preserve">W ujęciu niepieniężnym </w:t>
      </w:r>
      <w:r>
        <w:rPr>
          <w:rFonts w:ascii="Times New Roman" w:hAnsi="Times New Roman"/>
          <w:color w:val="000000"/>
          <w:sz w:val="20"/>
          <w:szCs w:val="20"/>
        </w:rPr>
        <w:t>proszę</w:t>
      </w:r>
      <w:r w:rsidRPr="00EE137C">
        <w:rPr>
          <w:rFonts w:ascii="Times New Roman" w:hAnsi="Times New Roman"/>
          <w:color w:val="000000"/>
          <w:sz w:val="20"/>
          <w:szCs w:val="20"/>
        </w:rPr>
        <w:t xml:space="preserve"> podać wartości </w:t>
      </w:r>
      <w:r>
        <w:rPr>
          <w:rFonts w:ascii="Times New Roman" w:hAnsi="Times New Roman"/>
          <w:color w:val="000000"/>
          <w:sz w:val="20"/>
          <w:szCs w:val="20"/>
        </w:rPr>
        <w:t>najważniejszych wskaźników</w:t>
      </w:r>
      <w:r w:rsidRPr="00EE137C">
        <w:rPr>
          <w:rFonts w:ascii="Times New Roman" w:hAnsi="Times New Roman"/>
          <w:color w:val="000000"/>
          <w:sz w:val="20"/>
          <w:szCs w:val="20"/>
        </w:rPr>
        <w:t>, które ulegną zmianie</w:t>
      </w:r>
      <w:r>
        <w:rPr>
          <w:rFonts w:ascii="Times New Roman" w:hAnsi="Times New Roman"/>
          <w:color w:val="000000"/>
          <w:sz w:val="20"/>
          <w:szCs w:val="20"/>
        </w:rPr>
        <w:t xml:space="preserve"> (np. skrócenie czasu wydania pozwolenia na budowę o 100 dni, wzrost wskaźnika upowszechnienia wychowania przedszkolnego o 20 p</w:t>
      </w:r>
      <w:r w:rsidR="004244A8">
        <w:rPr>
          <w:rFonts w:ascii="Times New Roman" w:hAnsi="Times New Roman"/>
          <w:color w:val="000000"/>
          <w:sz w:val="20"/>
          <w:szCs w:val="20"/>
        </w:rPr>
        <w:t xml:space="preserve">unktów </w:t>
      </w:r>
      <w:r>
        <w:rPr>
          <w:rFonts w:ascii="Times New Roman" w:hAnsi="Times New Roman"/>
          <w:color w:val="000000"/>
          <w:sz w:val="20"/>
          <w:szCs w:val="20"/>
        </w:rPr>
        <w:t>p</w:t>
      </w:r>
      <w:r w:rsidR="004244A8">
        <w:rPr>
          <w:rFonts w:ascii="Times New Roman" w:hAnsi="Times New Roman"/>
          <w:color w:val="000000"/>
          <w:sz w:val="20"/>
          <w:szCs w:val="20"/>
        </w:rPr>
        <w:t>rocentowych</w:t>
      </w:r>
      <w:r>
        <w:rPr>
          <w:rFonts w:ascii="Times New Roman" w:hAnsi="Times New Roman"/>
          <w:color w:val="000000"/>
          <w:sz w:val="20"/>
          <w:szCs w:val="20"/>
        </w:rPr>
        <w:t>)</w:t>
      </w:r>
      <w:r w:rsidRPr="00EE137C">
        <w:rPr>
          <w:rFonts w:ascii="Times New Roman" w:hAnsi="Times New Roman"/>
          <w:color w:val="000000"/>
          <w:sz w:val="20"/>
          <w:szCs w:val="20"/>
        </w:rPr>
        <w:t>.</w:t>
      </w:r>
    </w:p>
    <w:p w14:paraId="0B1FA648" w14:textId="77777777" w:rsidR="00AE472C" w:rsidRDefault="00AE472C" w:rsidP="004A145E">
      <w:pPr>
        <w:spacing w:after="120" w:line="240" w:lineRule="auto"/>
        <w:ind w:left="357"/>
        <w:jc w:val="both"/>
        <w:rPr>
          <w:rFonts w:ascii="Times New Roman" w:hAnsi="Times New Roman"/>
          <w:color w:val="000000"/>
          <w:sz w:val="20"/>
          <w:szCs w:val="20"/>
        </w:rPr>
      </w:pPr>
      <w:r>
        <w:rPr>
          <w:rFonts w:ascii="Times New Roman" w:hAnsi="Times New Roman"/>
          <w:color w:val="000000"/>
          <w:sz w:val="20"/>
          <w:szCs w:val="20"/>
        </w:rPr>
        <w:t xml:space="preserve">W </w:t>
      </w:r>
      <w:proofErr w:type="gramStart"/>
      <w:r>
        <w:rPr>
          <w:rFonts w:ascii="Times New Roman" w:hAnsi="Times New Roman"/>
          <w:color w:val="000000"/>
          <w:sz w:val="20"/>
          <w:szCs w:val="20"/>
        </w:rPr>
        <w:t>przypadku</w:t>
      </w:r>
      <w:proofErr w:type="gramEnd"/>
      <w:r>
        <w:rPr>
          <w:rFonts w:ascii="Times New Roman" w:hAnsi="Times New Roman"/>
          <w:color w:val="000000"/>
          <w:sz w:val="20"/>
          <w:szCs w:val="20"/>
        </w:rPr>
        <w:t xml:space="preserve"> </w:t>
      </w:r>
      <w:r w:rsidR="00BB0DCA">
        <w:rPr>
          <w:rFonts w:ascii="Times New Roman" w:hAnsi="Times New Roman"/>
          <w:color w:val="000000"/>
          <w:sz w:val="20"/>
          <w:szCs w:val="20"/>
        </w:rPr>
        <w:t>gdy</w:t>
      </w:r>
      <w:r w:rsidRPr="00EE137C">
        <w:rPr>
          <w:rFonts w:ascii="Times New Roman" w:hAnsi="Times New Roman"/>
          <w:color w:val="000000"/>
          <w:sz w:val="20"/>
          <w:szCs w:val="20"/>
        </w:rPr>
        <w:t xml:space="preserve"> nie ma możliwości podania żadnych wartości liczbowych (lub wpływ dotyczy także zmian</w:t>
      </w:r>
      <w:r>
        <w:rPr>
          <w:rFonts w:ascii="Times New Roman" w:hAnsi="Times New Roman"/>
          <w:color w:val="000000"/>
          <w:sz w:val="20"/>
          <w:szCs w:val="20"/>
        </w:rPr>
        <w:t>,</w:t>
      </w:r>
      <w:r w:rsidRPr="00EE137C">
        <w:rPr>
          <w:rFonts w:ascii="Times New Roman" w:hAnsi="Times New Roman"/>
          <w:color w:val="000000"/>
          <w:sz w:val="20"/>
          <w:szCs w:val="20"/>
        </w:rPr>
        <w:t xml:space="preserve"> których nie można skwantyfikować) </w:t>
      </w:r>
      <w:r>
        <w:rPr>
          <w:rFonts w:ascii="Times New Roman" w:hAnsi="Times New Roman"/>
          <w:color w:val="000000"/>
          <w:sz w:val="20"/>
          <w:szCs w:val="20"/>
        </w:rPr>
        <w:t>proszę</w:t>
      </w:r>
      <w:r w:rsidRPr="00EE137C">
        <w:rPr>
          <w:rFonts w:ascii="Times New Roman" w:hAnsi="Times New Roman"/>
          <w:color w:val="000000"/>
          <w:sz w:val="20"/>
          <w:szCs w:val="20"/>
        </w:rPr>
        <w:t xml:space="preserve"> </w:t>
      </w:r>
      <w:r>
        <w:rPr>
          <w:rFonts w:ascii="Times New Roman" w:hAnsi="Times New Roman"/>
          <w:color w:val="000000"/>
          <w:sz w:val="20"/>
          <w:szCs w:val="20"/>
        </w:rPr>
        <w:t xml:space="preserve">odpowiednio </w:t>
      </w:r>
      <w:r w:rsidRPr="00EE137C">
        <w:rPr>
          <w:rFonts w:ascii="Times New Roman" w:hAnsi="Times New Roman"/>
          <w:color w:val="000000"/>
          <w:sz w:val="20"/>
          <w:szCs w:val="20"/>
        </w:rPr>
        <w:t xml:space="preserve">opisać </w:t>
      </w:r>
      <w:r>
        <w:rPr>
          <w:rFonts w:ascii="Times New Roman" w:hAnsi="Times New Roman"/>
          <w:color w:val="000000"/>
          <w:sz w:val="20"/>
          <w:szCs w:val="20"/>
        </w:rPr>
        <w:t>analizę wpływu w</w:t>
      </w:r>
      <w:r w:rsidRPr="00EE137C">
        <w:rPr>
          <w:rFonts w:ascii="Times New Roman" w:hAnsi="Times New Roman"/>
          <w:color w:val="000000"/>
          <w:sz w:val="20"/>
          <w:szCs w:val="20"/>
        </w:rPr>
        <w:t xml:space="preserve"> pozycji: „niemierzalne</w:t>
      </w:r>
      <w:r w:rsidR="00BB0DCA">
        <w:rPr>
          <w:rFonts w:ascii="Times New Roman" w:hAnsi="Times New Roman"/>
          <w:color w:val="000000"/>
          <w:sz w:val="20"/>
          <w:szCs w:val="20"/>
        </w:rPr>
        <w:t>”</w:t>
      </w:r>
      <w:r w:rsidRPr="00EE137C">
        <w:rPr>
          <w:rFonts w:ascii="Times New Roman" w:hAnsi="Times New Roman"/>
          <w:color w:val="000000"/>
          <w:sz w:val="20"/>
          <w:szCs w:val="20"/>
        </w:rPr>
        <w:t>.</w:t>
      </w:r>
    </w:p>
    <w:p w14:paraId="3004A981" w14:textId="77777777" w:rsidR="00F15327" w:rsidRDefault="00AE472C" w:rsidP="004A145E">
      <w:pPr>
        <w:spacing w:after="120" w:line="240" w:lineRule="auto"/>
        <w:ind w:left="357"/>
        <w:jc w:val="both"/>
        <w:rPr>
          <w:rFonts w:ascii="Times New Roman" w:hAnsi="Times New Roman"/>
          <w:color w:val="000000"/>
          <w:sz w:val="20"/>
          <w:szCs w:val="20"/>
        </w:rPr>
      </w:pPr>
      <w:r>
        <w:rPr>
          <w:rFonts w:ascii="Times New Roman" w:hAnsi="Times New Roman"/>
          <w:color w:val="000000"/>
          <w:sz w:val="20"/>
          <w:szCs w:val="20"/>
        </w:rPr>
        <w:lastRenderedPageBreak/>
        <w:t xml:space="preserve">Skutki proszę </w:t>
      </w:r>
      <w:r w:rsidRPr="009F56EC">
        <w:rPr>
          <w:rFonts w:ascii="Times New Roman" w:hAnsi="Times New Roman"/>
          <w:color w:val="000000"/>
          <w:sz w:val="20"/>
          <w:szCs w:val="20"/>
        </w:rPr>
        <w:t>skalkulować dla roku wejścia w życie regulacji (0), a następnie w 1, 2, 3,</w:t>
      </w:r>
      <w:r w:rsidR="00441787">
        <w:rPr>
          <w:rFonts w:ascii="Times New Roman" w:hAnsi="Times New Roman"/>
          <w:color w:val="000000"/>
          <w:sz w:val="20"/>
          <w:szCs w:val="20"/>
        </w:rPr>
        <w:t xml:space="preserve"> 5 i 10 roku jej obowiązywania.</w:t>
      </w:r>
      <w:r w:rsidR="00441787">
        <w:rPr>
          <w:rFonts w:ascii="Times New Roman" w:hAnsi="Times New Roman"/>
          <w:color w:val="000000"/>
          <w:sz w:val="20"/>
          <w:szCs w:val="20"/>
        </w:rPr>
        <w:br/>
      </w:r>
      <w:r w:rsidRPr="009F56EC">
        <w:rPr>
          <w:rFonts w:ascii="Times New Roman" w:hAnsi="Times New Roman"/>
          <w:color w:val="000000"/>
          <w:sz w:val="20"/>
          <w:szCs w:val="20"/>
        </w:rPr>
        <w:t xml:space="preserve">W kolumnie </w:t>
      </w:r>
      <w:r w:rsidRPr="004244A8">
        <w:rPr>
          <w:rFonts w:ascii="Times New Roman" w:hAnsi="Times New Roman"/>
          <w:i/>
          <w:color w:val="000000"/>
          <w:sz w:val="20"/>
          <w:szCs w:val="20"/>
        </w:rPr>
        <w:t>Łącznie</w:t>
      </w:r>
      <w:r w:rsidRPr="009F56EC">
        <w:rPr>
          <w:rFonts w:ascii="Times New Roman" w:hAnsi="Times New Roman"/>
          <w:color w:val="000000"/>
          <w:sz w:val="20"/>
          <w:szCs w:val="20"/>
        </w:rPr>
        <w:t xml:space="preserve"> proszę wpisać skumulowane </w:t>
      </w:r>
      <w:r>
        <w:rPr>
          <w:rFonts w:ascii="Times New Roman" w:hAnsi="Times New Roman"/>
          <w:color w:val="000000"/>
          <w:sz w:val="20"/>
          <w:szCs w:val="20"/>
        </w:rPr>
        <w:t>skutki</w:t>
      </w:r>
      <w:r w:rsidRPr="009F56EC">
        <w:rPr>
          <w:rFonts w:ascii="Times New Roman" w:hAnsi="Times New Roman"/>
          <w:color w:val="000000"/>
          <w:sz w:val="20"/>
          <w:szCs w:val="20"/>
        </w:rPr>
        <w:t xml:space="preserve"> za okres 10 lat obowiązywania regulacji</w:t>
      </w:r>
      <w:r w:rsidR="00F15327">
        <w:rPr>
          <w:rFonts w:ascii="Times New Roman" w:hAnsi="Times New Roman"/>
          <w:color w:val="000000"/>
          <w:sz w:val="20"/>
          <w:szCs w:val="20"/>
        </w:rPr>
        <w:t xml:space="preserve">. </w:t>
      </w:r>
    </w:p>
    <w:p w14:paraId="1FDCC77E" w14:textId="77777777" w:rsidR="00F15327" w:rsidRDefault="00F15327" w:rsidP="004A145E">
      <w:pPr>
        <w:spacing w:after="120" w:line="240" w:lineRule="auto"/>
        <w:ind w:left="357"/>
        <w:jc w:val="both"/>
        <w:rPr>
          <w:rFonts w:ascii="Times New Roman" w:hAnsi="Times New Roman"/>
          <w:color w:val="000000"/>
          <w:sz w:val="20"/>
          <w:szCs w:val="20"/>
        </w:rPr>
      </w:pPr>
      <w:r w:rsidRPr="00D95D16">
        <w:rPr>
          <w:rFonts w:ascii="Times New Roman" w:hAnsi="Times New Roman"/>
          <w:color w:val="000000"/>
          <w:sz w:val="20"/>
          <w:szCs w:val="20"/>
        </w:rPr>
        <w:t xml:space="preserve">W </w:t>
      </w:r>
      <w:proofErr w:type="gramStart"/>
      <w:r w:rsidRPr="00D95D16">
        <w:rPr>
          <w:rFonts w:ascii="Times New Roman" w:hAnsi="Times New Roman"/>
          <w:color w:val="000000"/>
          <w:sz w:val="20"/>
          <w:szCs w:val="20"/>
        </w:rPr>
        <w:t>przypadku</w:t>
      </w:r>
      <w:proofErr w:type="gramEnd"/>
      <w:r>
        <w:rPr>
          <w:rFonts w:ascii="Times New Roman" w:hAnsi="Times New Roman"/>
          <w:color w:val="000000"/>
          <w:sz w:val="20"/>
          <w:szCs w:val="20"/>
        </w:rPr>
        <w:t xml:space="preserve"> gdy analiza wpływu obejmuje dłuższy niż 10-letni horyzont (np. zmiany w systemie emerytalnym), możliwe jest dostosowanie kolumn tabeli do horyzontu projektu</w:t>
      </w:r>
      <w:r w:rsidRPr="00422181">
        <w:rPr>
          <w:rFonts w:ascii="Times New Roman" w:hAnsi="Times New Roman"/>
          <w:color w:val="000000"/>
          <w:sz w:val="20"/>
          <w:szCs w:val="20"/>
        </w:rPr>
        <w:t xml:space="preserve">. </w:t>
      </w:r>
    </w:p>
    <w:p w14:paraId="4FC49711" w14:textId="77777777" w:rsidR="0069486B" w:rsidRDefault="0069486B" w:rsidP="004A145E">
      <w:pPr>
        <w:spacing w:after="120" w:line="240" w:lineRule="auto"/>
        <w:ind w:left="357"/>
        <w:jc w:val="both"/>
        <w:rPr>
          <w:rFonts w:ascii="Times New Roman" w:hAnsi="Times New Roman"/>
          <w:sz w:val="20"/>
          <w:szCs w:val="20"/>
        </w:rPr>
      </w:pPr>
      <w:r>
        <w:rPr>
          <w:rFonts w:ascii="Times New Roman" w:hAnsi="Times New Roman"/>
          <w:sz w:val="20"/>
          <w:szCs w:val="20"/>
        </w:rPr>
        <w:t xml:space="preserve">Jeżeli </w:t>
      </w:r>
      <w:r w:rsidRPr="004A145E">
        <w:rPr>
          <w:rFonts w:ascii="Times New Roman" w:hAnsi="Times New Roman"/>
          <w:color w:val="000000"/>
          <w:sz w:val="20"/>
          <w:szCs w:val="20"/>
        </w:rPr>
        <w:t>projekt</w:t>
      </w:r>
      <w:r>
        <w:rPr>
          <w:rFonts w:ascii="Times New Roman" w:hAnsi="Times New Roman"/>
          <w:sz w:val="20"/>
          <w:szCs w:val="20"/>
        </w:rPr>
        <w:t xml:space="preserve"> ma charakter przekrojowy i dotyczy wielu zagadnień (np. ustawa deregulująca zawody, ustawa o ułatwieniu wykonywania działalności gospodarczej) proszę dokonać analizy wpływu dla najważniejszych zmian</w:t>
      </w:r>
      <w:r w:rsidR="002172F1">
        <w:rPr>
          <w:rFonts w:ascii="Times New Roman" w:hAnsi="Times New Roman"/>
          <w:sz w:val="20"/>
          <w:szCs w:val="20"/>
        </w:rPr>
        <w:t>.</w:t>
      </w:r>
    </w:p>
    <w:p w14:paraId="3AC27B2A" w14:textId="77777777" w:rsidR="00D64C0F" w:rsidRDefault="00D64C0F" w:rsidP="004A145E">
      <w:pPr>
        <w:spacing w:after="120" w:line="240" w:lineRule="auto"/>
        <w:ind w:left="357"/>
        <w:jc w:val="both"/>
        <w:rPr>
          <w:rFonts w:ascii="Times New Roman" w:hAnsi="Times New Roman"/>
          <w:sz w:val="20"/>
          <w:szCs w:val="20"/>
        </w:rPr>
      </w:pPr>
      <w:r>
        <w:rPr>
          <w:rFonts w:ascii="Times New Roman" w:hAnsi="Times New Roman"/>
          <w:sz w:val="20"/>
          <w:szCs w:val="20"/>
        </w:rPr>
        <w:t xml:space="preserve">Proszę dostosować </w:t>
      </w:r>
      <w:r w:rsidRPr="004A145E">
        <w:rPr>
          <w:rFonts w:ascii="Times New Roman" w:hAnsi="Times New Roman"/>
          <w:color w:val="000000"/>
          <w:sz w:val="20"/>
          <w:szCs w:val="20"/>
        </w:rPr>
        <w:t>ilość</w:t>
      </w:r>
      <w:r>
        <w:rPr>
          <w:rFonts w:ascii="Times New Roman" w:hAnsi="Times New Roman"/>
          <w:sz w:val="20"/>
          <w:szCs w:val="20"/>
        </w:rPr>
        <w:t xml:space="preserve"> wierszy w tabeli, zgodnie z potrzebami projektu. Puste wiersze proszę usunąć.</w:t>
      </w:r>
    </w:p>
    <w:p w14:paraId="32FD6F0D" w14:textId="77777777" w:rsidR="00522D94" w:rsidRPr="00522D94" w:rsidRDefault="00522D94" w:rsidP="00522D94">
      <w:pPr>
        <w:numPr>
          <w:ilvl w:val="0"/>
          <w:numId w:val="9"/>
        </w:numPr>
        <w:spacing w:after="120" w:line="240" w:lineRule="auto"/>
        <w:jc w:val="both"/>
        <w:rPr>
          <w:rFonts w:ascii="Times New Roman" w:hAnsi="Times New Roman"/>
          <w:b/>
          <w:sz w:val="20"/>
          <w:szCs w:val="20"/>
        </w:rPr>
      </w:pPr>
      <w:r w:rsidRPr="00522D94">
        <w:rPr>
          <w:rFonts w:ascii="Times New Roman" w:hAnsi="Times New Roman"/>
          <w:b/>
          <w:color w:val="000000"/>
          <w:sz w:val="20"/>
          <w:szCs w:val="20"/>
        </w:rPr>
        <w:t>Zmiana obciążeń regulacyjnych (w tym obowiązków informacyjnych) wynikających z projektu</w:t>
      </w:r>
    </w:p>
    <w:p w14:paraId="2FBF58F8" w14:textId="77777777" w:rsidR="004244A8" w:rsidRDefault="004244A8" w:rsidP="004244A8">
      <w:pPr>
        <w:spacing w:after="120"/>
        <w:ind w:left="357"/>
        <w:jc w:val="both"/>
        <w:rPr>
          <w:rFonts w:ascii="Times New Roman" w:eastAsia="Batang" w:hAnsi="Times New Roman"/>
          <w:sz w:val="20"/>
          <w:szCs w:val="20"/>
          <w:lang w:eastAsia="ko-KR"/>
        </w:rPr>
      </w:pPr>
      <w:r w:rsidRPr="00837186">
        <w:rPr>
          <w:rFonts w:ascii="Times New Roman" w:hAnsi="Times New Roman"/>
          <w:color w:val="000000"/>
          <w:sz w:val="20"/>
          <w:szCs w:val="20"/>
        </w:rPr>
        <w:t xml:space="preserve">Obciążenia regulacyjne należy rozumieć jako </w:t>
      </w:r>
      <w:r>
        <w:rPr>
          <w:rFonts w:ascii="Times New Roman" w:hAnsi="Times New Roman"/>
          <w:color w:val="000000"/>
          <w:sz w:val="20"/>
          <w:szCs w:val="20"/>
        </w:rPr>
        <w:t>wszystkie czynności, które muszą wykona</w:t>
      </w:r>
      <w:r w:rsidR="00441787">
        <w:rPr>
          <w:rFonts w:ascii="Times New Roman" w:hAnsi="Times New Roman"/>
          <w:color w:val="000000"/>
          <w:sz w:val="20"/>
          <w:szCs w:val="20"/>
        </w:rPr>
        <w:t>ć podmioty (adresaci regulacji)</w:t>
      </w:r>
      <w:r w:rsidR="00441787">
        <w:rPr>
          <w:rFonts w:ascii="Times New Roman" w:hAnsi="Times New Roman"/>
          <w:color w:val="000000"/>
          <w:sz w:val="20"/>
          <w:szCs w:val="20"/>
        </w:rPr>
        <w:br/>
      </w:r>
      <w:r w:rsidRPr="00837186">
        <w:rPr>
          <w:rFonts w:ascii="Times New Roman" w:eastAsia="Batang" w:hAnsi="Times New Roman"/>
          <w:sz w:val="20"/>
          <w:szCs w:val="20"/>
          <w:lang w:eastAsia="ko-KR"/>
        </w:rPr>
        <w:t>w związku</w:t>
      </w:r>
      <w:r>
        <w:rPr>
          <w:rFonts w:ascii="Times New Roman" w:eastAsia="Batang" w:hAnsi="Times New Roman"/>
          <w:sz w:val="20"/>
          <w:szCs w:val="20"/>
          <w:lang w:eastAsia="ko-KR"/>
        </w:rPr>
        <w:t xml:space="preserve"> </w:t>
      </w:r>
      <w:r w:rsidRPr="00837186">
        <w:rPr>
          <w:rFonts w:ascii="Times New Roman" w:eastAsia="Batang" w:hAnsi="Times New Roman"/>
          <w:sz w:val="20"/>
          <w:szCs w:val="20"/>
          <w:lang w:eastAsia="ko-KR"/>
        </w:rPr>
        <w:t>wykonywani</w:t>
      </w:r>
      <w:r>
        <w:rPr>
          <w:rFonts w:ascii="Times New Roman" w:eastAsia="Batang" w:hAnsi="Times New Roman"/>
          <w:sz w:val="20"/>
          <w:szCs w:val="20"/>
          <w:lang w:eastAsia="ko-KR"/>
        </w:rPr>
        <w:t>em</w:t>
      </w:r>
      <w:r w:rsidRPr="00837186">
        <w:rPr>
          <w:rFonts w:ascii="Times New Roman" w:eastAsia="Batang" w:hAnsi="Times New Roman"/>
          <w:sz w:val="20"/>
          <w:szCs w:val="20"/>
          <w:lang w:eastAsia="ko-KR"/>
        </w:rPr>
        <w:t xml:space="preserve"> </w:t>
      </w:r>
      <w:r>
        <w:rPr>
          <w:rFonts w:ascii="Times New Roman" w:eastAsia="Batang" w:hAnsi="Times New Roman"/>
          <w:sz w:val="20"/>
          <w:szCs w:val="20"/>
          <w:lang w:eastAsia="ko-KR"/>
        </w:rPr>
        <w:t>projektowanych</w:t>
      </w:r>
      <w:r w:rsidRPr="00837186">
        <w:rPr>
          <w:rFonts w:ascii="Times New Roman" w:eastAsia="Batang" w:hAnsi="Times New Roman"/>
          <w:sz w:val="20"/>
          <w:szCs w:val="20"/>
          <w:lang w:eastAsia="ko-KR"/>
        </w:rPr>
        <w:t xml:space="preserve"> przepisów. </w:t>
      </w:r>
    </w:p>
    <w:p w14:paraId="1366A946" w14:textId="77777777" w:rsidR="004244A8" w:rsidRPr="00073C38" w:rsidRDefault="004244A8" w:rsidP="004244A8">
      <w:pPr>
        <w:spacing w:after="120"/>
        <w:ind w:left="357"/>
        <w:jc w:val="both"/>
        <w:rPr>
          <w:rFonts w:ascii="Times New Roman" w:hAnsi="Times New Roman"/>
          <w:sz w:val="20"/>
          <w:szCs w:val="20"/>
        </w:rPr>
      </w:pPr>
      <w:r>
        <w:rPr>
          <w:rFonts w:ascii="Times New Roman" w:eastAsia="Batang" w:hAnsi="Times New Roman"/>
          <w:sz w:val="20"/>
          <w:szCs w:val="20"/>
          <w:lang w:eastAsia="ko-KR"/>
        </w:rPr>
        <w:t xml:space="preserve">Przykładem takich obciążeń są m.in. obowiązki informacyjne (OI). </w:t>
      </w:r>
      <w:r w:rsidRPr="00073C38">
        <w:rPr>
          <w:rFonts w:ascii="Times New Roman" w:hAnsi="Times New Roman"/>
          <w:sz w:val="20"/>
          <w:szCs w:val="20"/>
        </w:rPr>
        <w:t xml:space="preserve">OI polega na dostarczaniu lub przechowywaniu przez podmioty zobowiązane </w:t>
      </w:r>
      <w:r>
        <w:rPr>
          <w:rFonts w:ascii="Times New Roman" w:hAnsi="Times New Roman"/>
          <w:sz w:val="20"/>
          <w:szCs w:val="20"/>
        </w:rPr>
        <w:t xml:space="preserve">danych </w:t>
      </w:r>
      <w:r w:rsidRPr="00073C38">
        <w:rPr>
          <w:rFonts w:ascii="Times New Roman" w:hAnsi="Times New Roman"/>
          <w:sz w:val="20"/>
          <w:szCs w:val="20"/>
        </w:rPr>
        <w:t xml:space="preserve">informacji. Identyfikowanie OI dokonywane jest w oparciu o </w:t>
      </w:r>
      <w:r>
        <w:rPr>
          <w:rFonts w:ascii="Times New Roman" w:hAnsi="Times New Roman"/>
          <w:sz w:val="20"/>
          <w:szCs w:val="20"/>
        </w:rPr>
        <w:t>przepi</w:t>
      </w:r>
      <w:r w:rsidR="00B7770F">
        <w:rPr>
          <w:rFonts w:ascii="Times New Roman" w:hAnsi="Times New Roman"/>
          <w:sz w:val="20"/>
          <w:szCs w:val="20"/>
        </w:rPr>
        <w:t>sy</w:t>
      </w:r>
      <w:r w:rsidRPr="00073C38">
        <w:rPr>
          <w:rFonts w:ascii="Times New Roman" w:hAnsi="Times New Roman"/>
          <w:sz w:val="20"/>
          <w:szCs w:val="20"/>
        </w:rPr>
        <w:t xml:space="preserve"> </w:t>
      </w:r>
      <w:r>
        <w:rPr>
          <w:rFonts w:ascii="Times New Roman" w:hAnsi="Times New Roman"/>
          <w:sz w:val="20"/>
          <w:szCs w:val="20"/>
        </w:rPr>
        <w:t>ustawy</w:t>
      </w:r>
      <w:r w:rsidRPr="00073C38">
        <w:rPr>
          <w:rFonts w:ascii="Times New Roman" w:hAnsi="Times New Roman"/>
          <w:sz w:val="20"/>
          <w:szCs w:val="20"/>
        </w:rPr>
        <w:t>.</w:t>
      </w:r>
      <w:r>
        <w:rPr>
          <w:rFonts w:ascii="Times New Roman" w:hAnsi="Times New Roman"/>
          <w:sz w:val="20"/>
          <w:szCs w:val="20"/>
        </w:rPr>
        <w:t xml:space="preserve"> Dany przepis nakłada OI, jeżeli </w:t>
      </w:r>
      <w:r w:rsidRPr="00073C38">
        <w:rPr>
          <w:rFonts w:ascii="Times New Roman" w:hAnsi="Times New Roman"/>
          <w:sz w:val="20"/>
          <w:szCs w:val="20"/>
        </w:rPr>
        <w:t xml:space="preserve">podmiot realizujący obowiązek musi wykonać szereg czynności administracyjnych. </w:t>
      </w:r>
      <w:r>
        <w:rPr>
          <w:rFonts w:ascii="Times New Roman" w:hAnsi="Times New Roman"/>
          <w:sz w:val="20"/>
          <w:szCs w:val="20"/>
        </w:rPr>
        <w:t xml:space="preserve">Przepis można </w:t>
      </w:r>
      <w:r w:rsidR="00C33027">
        <w:rPr>
          <w:rFonts w:ascii="Times New Roman" w:hAnsi="Times New Roman"/>
          <w:sz w:val="20"/>
          <w:szCs w:val="20"/>
        </w:rPr>
        <w:t>uznać</w:t>
      </w:r>
      <w:r>
        <w:rPr>
          <w:rFonts w:ascii="Times New Roman" w:hAnsi="Times New Roman"/>
          <w:sz w:val="20"/>
          <w:szCs w:val="20"/>
        </w:rPr>
        <w:t xml:space="preserve"> za OI w</w:t>
      </w:r>
      <w:r w:rsidRPr="00073C38">
        <w:rPr>
          <w:rFonts w:ascii="Times New Roman" w:hAnsi="Times New Roman"/>
          <w:sz w:val="20"/>
          <w:szCs w:val="20"/>
        </w:rPr>
        <w:t xml:space="preserve"> </w:t>
      </w:r>
      <w:proofErr w:type="gramStart"/>
      <w:r w:rsidRPr="00073C38">
        <w:rPr>
          <w:rFonts w:ascii="Times New Roman" w:hAnsi="Times New Roman"/>
          <w:sz w:val="20"/>
          <w:szCs w:val="20"/>
        </w:rPr>
        <w:t>przypadku</w:t>
      </w:r>
      <w:proofErr w:type="gramEnd"/>
      <w:r w:rsidRPr="00073C38">
        <w:rPr>
          <w:rFonts w:ascii="Times New Roman" w:hAnsi="Times New Roman"/>
          <w:sz w:val="20"/>
          <w:szCs w:val="20"/>
        </w:rPr>
        <w:t xml:space="preserve"> gdy </w:t>
      </w:r>
      <w:r>
        <w:rPr>
          <w:rFonts w:ascii="Times New Roman" w:hAnsi="Times New Roman"/>
          <w:sz w:val="20"/>
          <w:szCs w:val="20"/>
        </w:rPr>
        <w:t xml:space="preserve">jego </w:t>
      </w:r>
      <w:r w:rsidRPr="00073C38">
        <w:rPr>
          <w:rFonts w:ascii="Times New Roman" w:hAnsi="Times New Roman"/>
          <w:sz w:val="20"/>
          <w:szCs w:val="20"/>
        </w:rPr>
        <w:t>wykonanie będzie związane z wykonaniem jednej lub więcej czynności składowych z listy poniżej</w:t>
      </w:r>
      <w:r>
        <w:rPr>
          <w:rFonts w:ascii="Times New Roman" w:hAnsi="Times New Roman"/>
          <w:sz w:val="20"/>
          <w:szCs w:val="20"/>
        </w:rPr>
        <w:t>:</w:t>
      </w:r>
    </w:p>
    <w:p w14:paraId="12063526" w14:textId="77777777" w:rsidR="004244A8" w:rsidRPr="00073C38" w:rsidRDefault="004244A8" w:rsidP="004C36D8">
      <w:pPr>
        <w:numPr>
          <w:ilvl w:val="0"/>
          <w:numId w:val="12"/>
        </w:numPr>
        <w:tabs>
          <w:tab w:val="num" w:pos="2118"/>
        </w:tabs>
        <w:spacing w:line="240" w:lineRule="auto"/>
        <w:jc w:val="both"/>
        <w:rPr>
          <w:rFonts w:ascii="Times New Roman" w:hAnsi="Times New Roman"/>
          <w:sz w:val="20"/>
          <w:szCs w:val="20"/>
        </w:rPr>
      </w:pPr>
      <w:r>
        <w:rPr>
          <w:rFonts w:ascii="Times New Roman" w:hAnsi="Times New Roman"/>
          <w:sz w:val="20"/>
          <w:szCs w:val="20"/>
        </w:rPr>
        <w:t>p</w:t>
      </w:r>
      <w:r w:rsidRPr="00073C38">
        <w:rPr>
          <w:rFonts w:ascii="Times New Roman" w:hAnsi="Times New Roman"/>
          <w:sz w:val="20"/>
          <w:szCs w:val="20"/>
        </w:rPr>
        <w:t>rzyswajanie wiedzy dot</w:t>
      </w:r>
      <w:r>
        <w:rPr>
          <w:rFonts w:ascii="Times New Roman" w:hAnsi="Times New Roman"/>
          <w:sz w:val="20"/>
          <w:szCs w:val="20"/>
        </w:rPr>
        <w:t>yczącej</w:t>
      </w:r>
      <w:r w:rsidRPr="00073C38">
        <w:rPr>
          <w:rFonts w:ascii="Times New Roman" w:hAnsi="Times New Roman"/>
          <w:sz w:val="20"/>
          <w:szCs w:val="20"/>
        </w:rPr>
        <w:t xml:space="preserve"> wykonywania konkretnego obowiązku informacyjnego (w tym bieżące śledzenie zmian w przepisach)</w:t>
      </w:r>
      <w:r>
        <w:rPr>
          <w:rFonts w:ascii="Times New Roman" w:hAnsi="Times New Roman"/>
          <w:sz w:val="20"/>
          <w:szCs w:val="20"/>
        </w:rPr>
        <w:t>,</w:t>
      </w:r>
    </w:p>
    <w:p w14:paraId="1D9801E5" w14:textId="77777777" w:rsidR="004244A8" w:rsidRPr="00073C38" w:rsidRDefault="004244A8" w:rsidP="004C36D8">
      <w:pPr>
        <w:numPr>
          <w:ilvl w:val="0"/>
          <w:numId w:val="12"/>
        </w:numPr>
        <w:tabs>
          <w:tab w:val="num" w:pos="2118"/>
        </w:tabs>
        <w:spacing w:line="240" w:lineRule="auto"/>
        <w:jc w:val="both"/>
        <w:rPr>
          <w:rFonts w:ascii="Times New Roman" w:hAnsi="Times New Roman"/>
          <w:sz w:val="20"/>
          <w:szCs w:val="20"/>
        </w:rPr>
      </w:pPr>
      <w:r>
        <w:rPr>
          <w:rFonts w:ascii="Times New Roman" w:hAnsi="Times New Roman"/>
          <w:sz w:val="20"/>
          <w:szCs w:val="20"/>
        </w:rPr>
        <w:t>s</w:t>
      </w:r>
      <w:r w:rsidRPr="00073C38">
        <w:rPr>
          <w:rFonts w:ascii="Times New Roman" w:hAnsi="Times New Roman"/>
          <w:sz w:val="20"/>
          <w:szCs w:val="20"/>
        </w:rPr>
        <w:t>zkolenie pracowników w zakresie wykonywania OI</w:t>
      </w:r>
      <w:r>
        <w:rPr>
          <w:rFonts w:ascii="Times New Roman" w:hAnsi="Times New Roman"/>
          <w:sz w:val="20"/>
          <w:szCs w:val="20"/>
        </w:rPr>
        <w:t>,</w:t>
      </w:r>
    </w:p>
    <w:p w14:paraId="0B4641D9" w14:textId="77777777" w:rsidR="004244A8" w:rsidRPr="00073C38" w:rsidRDefault="004244A8" w:rsidP="004C36D8">
      <w:pPr>
        <w:numPr>
          <w:ilvl w:val="0"/>
          <w:numId w:val="12"/>
        </w:numPr>
        <w:tabs>
          <w:tab w:val="num" w:pos="2118"/>
        </w:tabs>
        <w:spacing w:line="240" w:lineRule="auto"/>
        <w:jc w:val="both"/>
        <w:rPr>
          <w:rFonts w:ascii="Times New Roman" w:hAnsi="Times New Roman"/>
          <w:sz w:val="20"/>
          <w:szCs w:val="20"/>
        </w:rPr>
      </w:pPr>
      <w:r>
        <w:rPr>
          <w:rFonts w:ascii="Times New Roman" w:hAnsi="Times New Roman"/>
          <w:sz w:val="20"/>
          <w:szCs w:val="20"/>
        </w:rPr>
        <w:t>p</w:t>
      </w:r>
      <w:r w:rsidRPr="00073C38">
        <w:rPr>
          <w:rFonts w:ascii="Times New Roman" w:hAnsi="Times New Roman"/>
          <w:sz w:val="20"/>
          <w:szCs w:val="20"/>
        </w:rPr>
        <w:t>ozyskiwanie odpowiednich informacji z posiadanych danych</w:t>
      </w:r>
      <w:r>
        <w:rPr>
          <w:rFonts w:ascii="Times New Roman" w:hAnsi="Times New Roman"/>
          <w:sz w:val="20"/>
          <w:szCs w:val="20"/>
        </w:rPr>
        <w:t>,</w:t>
      </w:r>
    </w:p>
    <w:p w14:paraId="017A0196" w14:textId="77777777" w:rsidR="004244A8" w:rsidRPr="00073C38" w:rsidRDefault="004244A8" w:rsidP="004C36D8">
      <w:pPr>
        <w:numPr>
          <w:ilvl w:val="0"/>
          <w:numId w:val="12"/>
        </w:numPr>
        <w:tabs>
          <w:tab w:val="num" w:pos="2118"/>
        </w:tabs>
        <w:spacing w:line="240" w:lineRule="auto"/>
        <w:jc w:val="both"/>
        <w:rPr>
          <w:rFonts w:ascii="Times New Roman" w:hAnsi="Times New Roman"/>
          <w:sz w:val="20"/>
          <w:szCs w:val="20"/>
        </w:rPr>
      </w:pPr>
      <w:r>
        <w:rPr>
          <w:rFonts w:ascii="Times New Roman" w:hAnsi="Times New Roman"/>
          <w:sz w:val="20"/>
          <w:szCs w:val="20"/>
        </w:rPr>
        <w:t>p</w:t>
      </w:r>
      <w:r w:rsidRPr="00073C38">
        <w:rPr>
          <w:rFonts w:ascii="Times New Roman" w:hAnsi="Times New Roman"/>
          <w:sz w:val="20"/>
          <w:szCs w:val="20"/>
        </w:rPr>
        <w:t xml:space="preserve">rzetwarzanie posiadanych danych </w:t>
      </w:r>
      <w:r>
        <w:rPr>
          <w:rFonts w:ascii="Times New Roman" w:hAnsi="Times New Roman"/>
          <w:sz w:val="20"/>
          <w:szCs w:val="20"/>
        </w:rPr>
        <w:t>w celu</w:t>
      </w:r>
      <w:r w:rsidRPr="00073C38">
        <w:rPr>
          <w:rFonts w:ascii="Times New Roman" w:hAnsi="Times New Roman"/>
          <w:sz w:val="20"/>
          <w:szCs w:val="20"/>
        </w:rPr>
        <w:t xml:space="preserve"> wykonania OI</w:t>
      </w:r>
      <w:r>
        <w:rPr>
          <w:rFonts w:ascii="Times New Roman" w:hAnsi="Times New Roman"/>
          <w:sz w:val="20"/>
          <w:szCs w:val="20"/>
        </w:rPr>
        <w:t>,</w:t>
      </w:r>
    </w:p>
    <w:p w14:paraId="6647D6D6" w14:textId="77777777" w:rsidR="004244A8" w:rsidRPr="00073C38" w:rsidRDefault="004244A8" w:rsidP="004C36D8">
      <w:pPr>
        <w:numPr>
          <w:ilvl w:val="0"/>
          <w:numId w:val="12"/>
        </w:numPr>
        <w:tabs>
          <w:tab w:val="num" w:pos="2118"/>
        </w:tabs>
        <w:spacing w:line="240" w:lineRule="auto"/>
        <w:jc w:val="both"/>
        <w:rPr>
          <w:rFonts w:ascii="Times New Roman" w:hAnsi="Times New Roman"/>
          <w:sz w:val="20"/>
          <w:szCs w:val="20"/>
        </w:rPr>
      </w:pPr>
      <w:r>
        <w:rPr>
          <w:rFonts w:ascii="Times New Roman" w:hAnsi="Times New Roman"/>
          <w:sz w:val="20"/>
          <w:szCs w:val="20"/>
        </w:rPr>
        <w:t>g</w:t>
      </w:r>
      <w:r w:rsidRPr="00073C38">
        <w:rPr>
          <w:rFonts w:ascii="Times New Roman" w:hAnsi="Times New Roman"/>
          <w:sz w:val="20"/>
          <w:szCs w:val="20"/>
        </w:rPr>
        <w:t>enerowanie nowych danych</w:t>
      </w:r>
      <w:r>
        <w:rPr>
          <w:rFonts w:ascii="Times New Roman" w:hAnsi="Times New Roman"/>
          <w:sz w:val="20"/>
          <w:szCs w:val="20"/>
        </w:rPr>
        <w:t>,</w:t>
      </w:r>
    </w:p>
    <w:p w14:paraId="3DCFDAB3" w14:textId="77777777" w:rsidR="004244A8" w:rsidRPr="00073C38" w:rsidRDefault="004244A8" w:rsidP="004C36D8">
      <w:pPr>
        <w:numPr>
          <w:ilvl w:val="0"/>
          <w:numId w:val="12"/>
        </w:numPr>
        <w:tabs>
          <w:tab w:val="num" w:pos="2118"/>
        </w:tabs>
        <w:spacing w:line="240" w:lineRule="auto"/>
        <w:jc w:val="both"/>
        <w:rPr>
          <w:rFonts w:ascii="Times New Roman" w:hAnsi="Times New Roman"/>
          <w:sz w:val="20"/>
          <w:szCs w:val="20"/>
        </w:rPr>
      </w:pPr>
      <w:r>
        <w:rPr>
          <w:rFonts w:ascii="Times New Roman" w:hAnsi="Times New Roman"/>
          <w:sz w:val="20"/>
          <w:szCs w:val="20"/>
        </w:rPr>
        <w:t>p</w:t>
      </w:r>
      <w:r w:rsidRPr="00073C38">
        <w:rPr>
          <w:rFonts w:ascii="Times New Roman" w:hAnsi="Times New Roman"/>
          <w:sz w:val="20"/>
          <w:szCs w:val="20"/>
        </w:rPr>
        <w:t>rojektowanie materiałów informacyjnych</w:t>
      </w:r>
      <w:r>
        <w:rPr>
          <w:rFonts w:ascii="Times New Roman" w:hAnsi="Times New Roman"/>
          <w:sz w:val="20"/>
          <w:szCs w:val="20"/>
        </w:rPr>
        <w:t>,</w:t>
      </w:r>
    </w:p>
    <w:p w14:paraId="7E4C09BB" w14:textId="77777777" w:rsidR="004244A8" w:rsidRPr="00073C38" w:rsidRDefault="004244A8" w:rsidP="004C36D8">
      <w:pPr>
        <w:numPr>
          <w:ilvl w:val="0"/>
          <w:numId w:val="12"/>
        </w:numPr>
        <w:tabs>
          <w:tab w:val="num" w:pos="2118"/>
        </w:tabs>
        <w:spacing w:line="240" w:lineRule="auto"/>
        <w:jc w:val="both"/>
        <w:rPr>
          <w:rFonts w:ascii="Times New Roman" w:hAnsi="Times New Roman"/>
          <w:sz w:val="20"/>
          <w:szCs w:val="20"/>
        </w:rPr>
      </w:pPr>
      <w:r>
        <w:rPr>
          <w:rFonts w:ascii="Times New Roman" w:hAnsi="Times New Roman"/>
          <w:sz w:val="20"/>
          <w:szCs w:val="20"/>
        </w:rPr>
        <w:t>w</w:t>
      </w:r>
      <w:r w:rsidRPr="00073C38">
        <w:rPr>
          <w:rFonts w:ascii="Times New Roman" w:hAnsi="Times New Roman"/>
          <w:sz w:val="20"/>
          <w:szCs w:val="20"/>
        </w:rPr>
        <w:t>ypełnianie kwestionariuszy</w:t>
      </w:r>
      <w:r>
        <w:rPr>
          <w:rFonts w:ascii="Times New Roman" w:hAnsi="Times New Roman"/>
          <w:sz w:val="20"/>
          <w:szCs w:val="20"/>
        </w:rPr>
        <w:t>,</w:t>
      </w:r>
    </w:p>
    <w:p w14:paraId="2FB58C7E" w14:textId="77777777" w:rsidR="004244A8" w:rsidRPr="00073C38" w:rsidRDefault="004244A8" w:rsidP="004C36D8">
      <w:pPr>
        <w:numPr>
          <w:ilvl w:val="0"/>
          <w:numId w:val="12"/>
        </w:numPr>
        <w:tabs>
          <w:tab w:val="num" w:pos="2118"/>
        </w:tabs>
        <w:spacing w:line="240" w:lineRule="auto"/>
        <w:jc w:val="both"/>
        <w:rPr>
          <w:rFonts w:ascii="Times New Roman" w:hAnsi="Times New Roman"/>
          <w:sz w:val="20"/>
          <w:szCs w:val="20"/>
        </w:rPr>
      </w:pPr>
      <w:r>
        <w:rPr>
          <w:rFonts w:ascii="Times New Roman" w:hAnsi="Times New Roman"/>
          <w:sz w:val="20"/>
          <w:szCs w:val="20"/>
        </w:rPr>
        <w:t>o</w:t>
      </w:r>
      <w:r w:rsidRPr="00073C38">
        <w:rPr>
          <w:rFonts w:ascii="Times New Roman" w:hAnsi="Times New Roman"/>
          <w:sz w:val="20"/>
          <w:szCs w:val="20"/>
        </w:rPr>
        <w:t>dbywanie spotkań</w:t>
      </w:r>
      <w:r>
        <w:rPr>
          <w:rFonts w:ascii="Times New Roman" w:hAnsi="Times New Roman"/>
          <w:sz w:val="20"/>
          <w:szCs w:val="20"/>
        </w:rPr>
        <w:t>,</w:t>
      </w:r>
    </w:p>
    <w:p w14:paraId="624BA17E" w14:textId="77777777" w:rsidR="004244A8" w:rsidRPr="00073C38" w:rsidRDefault="004244A8" w:rsidP="004C36D8">
      <w:pPr>
        <w:numPr>
          <w:ilvl w:val="0"/>
          <w:numId w:val="12"/>
        </w:numPr>
        <w:tabs>
          <w:tab w:val="num" w:pos="2118"/>
        </w:tabs>
        <w:spacing w:line="240" w:lineRule="auto"/>
        <w:jc w:val="both"/>
        <w:rPr>
          <w:rFonts w:ascii="Times New Roman" w:hAnsi="Times New Roman"/>
          <w:sz w:val="20"/>
          <w:szCs w:val="20"/>
        </w:rPr>
      </w:pPr>
      <w:r>
        <w:rPr>
          <w:rFonts w:ascii="Times New Roman" w:hAnsi="Times New Roman"/>
          <w:sz w:val="20"/>
          <w:szCs w:val="20"/>
        </w:rPr>
        <w:t>k</w:t>
      </w:r>
      <w:r w:rsidRPr="00073C38">
        <w:rPr>
          <w:rFonts w:ascii="Times New Roman" w:hAnsi="Times New Roman"/>
          <w:sz w:val="20"/>
          <w:szCs w:val="20"/>
        </w:rPr>
        <w:t>ontrola i sprawdzanie poprawności</w:t>
      </w:r>
      <w:r>
        <w:rPr>
          <w:rFonts w:ascii="Times New Roman" w:hAnsi="Times New Roman"/>
          <w:sz w:val="20"/>
          <w:szCs w:val="20"/>
        </w:rPr>
        <w:t>,</w:t>
      </w:r>
    </w:p>
    <w:p w14:paraId="2B2FB743" w14:textId="77777777" w:rsidR="004244A8" w:rsidRPr="00073C38" w:rsidRDefault="004244A8" w:rsidP="004C36D8">
      <w:pPr>
        <w:numPr>
          <w:ilvl w:val="0"/>
          <w:numId w:val="12"/>
        </w:numPr>
        <w:tabs>
          <w:tab w:val="num" w:pos="2118"/>
        </w:tabs>
        <w:spacing w:line="240" w:lineRule="auto"/>
        <w:jc w:val="both"/>
        <w:rPr>
          <w:rFonts w:ascii="Times New Roman" w:hAnsi="Times New Roman"/>
          <w:sz w:val="20"/>
          <w:szCs w:val="20"/>
        </w:rPr>
      </w:pPr>
      <w:r>
        <w:rPr>
          <w:rFonts w:ascii="Times New Roman" w:hAnsi="Times New Roman"/>
          <w:sz w:val="20"/>
          <w:szCs w:val="20"/>
        </w:rPr>
        <w:t>k</w:t>
      </w:r>
      <w:r w:rsidRPr="00073C38">
        <w:rPr>
          <w:rFonts w:ascii="Times New Roman" w:hAnsi="Times New Roman"/>
          <w:sz w:val="20"/>
          <w:szCs w:val="20"/>
        </w:rPr>
        <w:t>opiowanie/sporządzanie dokumentacji</w:t>
      </w:r>
      <w:r>
        <w:rPr>
          <w:rFonts w:ascii="Times New Roman" w:hAnsi="Times New Roman"/>
          <w:sz w:val="20"/>
          <w:szCs w:val="20"/>
        </w:rPr>
        <w:t>,</w:t>
      </w:r>
    </w:p>
    <w:p w14:paraId="688284BD" w14:textId="77777777" w:rsidR="004244A8" w:rsidRPr="00073C38" w:rsidRDefault="004244A8" w:rsidP="004C36D8">
      <w:pPr>
        <w:numPr>
          <w:ilvl w:val="0"/>
          <w:numId w:val="12"/>
        </w:numPr>
        <w:tabs>
          <w:tab w:val="num" w:pos="2118"/>
        </w:tabs>
        <w:spacing w:line="240" w:lineRule="auto"/>
        <w:jc w:val="both"/>
        <w:rPr>
          <w:rFonts w:ascii="Times New Roman" w:hAnsi="Times New Roman"/>
          <w:sz w:val="20"/>
          <w:szCs w:val="20"/>
        </w:rPr>
      </w:pPr>
      <w:r>
        <w:rPr>
          <w:rFonts w:ascii="Times New Roman" w:hAnsi="Times New Roman"/>
          <w:sz w:val="20"/>
          <w:szCs w:val="20"/>
        </w:rPr>
        <w:t>p</w:t>
      </w:r>
      <w:r w:rsidRPr="00073C38">
        <w:rPr>
          <w:rFonts w:ascii="Times New Roman" w:hAnsi="Times New Roman"/>
          <w:sz w:val="20"/>
          <w:szCs w:val="20"/>
        </w:rPr>
        <w:t>rzekazywanie wymaganej informacji do adresata</w:t>
      </w:r>
      <w:r>
        <w:rPr>
          <w:rFonts w:ascii="Times New Roman" w:hAnsi="Times New Roman"/>
          <w:sz w:val="20"/>
          <w:szCs w:val="20"/>
        </w:rPr>
        <w:t>,</w:t>
      </w:r>
    </w:p>
    <w:p w14:paraId="4D6EF299" w14:textId="77777777" w:rsidR="004244A8" w:rsidRPr="00073C38" w:rsidRDefault="00C33027" w:rsidP="0057189C">
      <w:pPr>
        <w:numPr>
          <w:ilvl w:val="0"/>
          <w:numId w:val="12"/>
        </w:numPr>
        <w:tabs>
          <w:tab w:val="num" w:pos="2118"/>
        </w:tabs>
        <w:spacing w:after="120" w:line="240" w:lineRule="auto"/>
        <w:ind w:left="1043" w:hanging="357"/>
        <w:jc w:val="both"/>
        <w:rPr>
          <w:rFonts w:ascii="Times New Roman" w:hAnsi="Times New Roman"/>
          <w:sz w:val="20"/>
          <w:szCs w:val="20"/>
        </w:rPr>
      </w:pPr>
      <w:r>
        <w:rPr>
          <w:rFonts w:ascii="Times New Roman" w:hAnsi="Times New Roman"/>
          <w:sz w:val="20"/>
          <w:szCs w:val="20"/>
        </w:rPr>
        <w:t>a</w:t>
      </w:r>
      <w:r w:rsidRPr="00073C38">
        <w:rPr>
          <w:rFonts w:ascii="Times New Roman" w:hAnsi="Times New Roman"/>
          <w:sz w:val="20"/>
          <w:szCs w:val="20"/>
        </w:rPr>
        <w:t>rchiwizacja informacji</w:t>
      </w:r>
      <w:r w:rsidR="004244A8">
        <w:rPr>
          <w:rFonts w:ascii="Times New Roman" w:hAnsi="Times New Roman"/>
          <w:sz w:val="20"/>
          <w:szCs w:val="20"/>
        </w:rPr>
        <w:t>.</w:t>
      </w:r>
    </w:p>
    <w:p w14:paraId="2F90534A" w14:textId="77777777" w:rsidR="00C50B42" w:rsidRDefault="00C50B42" w:rsidP="00C50B42">
      <w:pPr>
        <w:spacing w:after="120" w:line="240" w:lineRule="auto"/>
        <w:ind w:left="360"/>
        <w:jc w:val="both"/>
        <w:rPr>
          <w:rFonts w:ascii="Times New Roman" w:hAnsi="Times New Roman"/>
          <w:color w:val="000000"/>
          <w:sz w:val="20"/>
          <w:szCs w:val="20"/>
        </w:rPr>
      </w:pPr>
      <w:r>
        <w:rPr>
          <w:rFonts w:ascii="Times New Roman" w:hAnsi="Times New Roman"/>
          <w:color w:val="000000"/>
          <w:sz w:val="20"/>
          <w:szCs w:val="20"/>
        </w:rPr>
        <w:t>Proszę:</w:t>
      </w:r>
    </w:p>
    <w:p w14:paraId="411E10A0" w14:textId="77777777" w:rsidR="00C50B42" w:rsidRDefault="00C50B42" w:rsidP="0066091B">
      <w:pPr>
        <w:numPr>
          <w:ilvl w:val="0"/>
          <w:numId w:val="19"/>
        </w:numPr>
        <w:spacing w:after="120" w:line="240" w:lineRule="auto"/>
        <w:jc w:val="both"/>
        <w:rPr>
          <w:rFonts w:ascii="Times New Roman" w:hAnsi="Times New Roman"/>
          <w:color w:val="000000"/>
          <w:sz w:val="20"/>
          <w:szCs w:val="20"/>
        </w:rPr>
      </w:pPr>
      <w:r>
        <w:rPr>
          <w:rFonts w:ascii="Times New Roman" w:hAnsi="Times New Roman"/>
          <w:color w:val="000000"/>
          <w:sz w:val="20"/>
          <w:szCs w:val="20"/>
        </w:rPr>
        <w:t xml:space="preserve">w </w:t>
      </w:r>
      <w:proofErr w:type="gramStart"/>
      <w:r>
        <w:rPr>
          <w:rFonts w:ascii="Times New Roman" w:hAnsi="Times New Roman"/>
          <w:color w:val="000000"/>
          <w:sz w:val="20"/>
          <w:szCs w:val="20"/>
        </w:rPr>
        <w:t>przypadku</w:t>
      </w:r>
      <w:proofErr w:type="gramEnd"/>
      <w:r>
        <w:rPr>
          <w:rFonts w:ascii="Times New Roman" w:hAnsi="Times New Roman"/>
          <w:color w:val="000000"/>
          <w:sz w:val="20"/>
          <w:szCs w:val="20"/>
        </w:rPr>
        <w:t xml:space="preserve"> gdy projekt nie dotyczy zmiany obciążeń regulacyjnych</w:t>
      </w:r>
      <w:r w:rsidR="00BB0DCA">
        <w:rPr>
          <w:rFonts w:ascii="Times New Roman" w:hAnsi="Times New Roman"/>
          <w:color w:val="000000"/>
          <w:sz w:val="20"/>
          <w:szCs w:val="20"/>
        </w:rPr>
        <w:t>,</w:t>
      </w:r>
      <w:r>
        <w:rPr>
          <w:rFonts w:ascii="Times New Roman" w:hAnsi="Times New Roman"/>
          <w:color w:val="000000"/>
          <w:sz w:val="20"/>
          <w:szCs w:val="20"/>
        </w:rPr>
        <w:t xml:space="preserve"> zaznaczyć pole „nie dotyczy”,</w:t>
      </w:r>
    </w:p>
    <w:p w14:paraId="261370B3" w14:textId="77777777" w:rsidR="00C50B42" w:rsidRDefault="00C50B42" w:rsidP="0066091B">
      <w:pPr>
        <w:numPr>
          <w:ilvl w:val="0"/>
          <w:numId w:val="19"/>
        </w:numPr>
        <w:spacing w:after="120" w:line="240" w:lineRule="auto"/>
        <w:jc w:val="both"/>
        <w:rPr>
          <w:rFonts w:ascii="Times New Roman" w:hAnsi="Times New Roman"/>
          <w:color w:val="000000"/>
          <w:sz w:val="20"/>
          <w:szCs w:val="20"/>
        </w:rPr>
      </w:pPr>
      <w:r>
        <w:rPr>
          <w:rFonts w:ascii="Times New Roman" w:hAnsi="Times New Roman"/>
          <w:color w:val="000000"/>
          <w:sz w:val="20"/>
          <w:szCs w:val="20"/>
        </w:rPr>
        <w:t>w przypadku zmian w projekcie wpływających na obciążenia regulacyjne odpowiednio zaznaczyć ich zwiększenie lub zmniejszenie,</w:t>
      </w:r>
    </w:p>
    <w:p w14:paraId="0E58B56E" w14:textId="77777777" w:rsidR="00C50B42" w:rsidRDefault="00C50B42" w:rsidP="0066091B">
      <w:pPr>
        <w:numPr>
          <w:ilvl w:val="0"/>
          <w:numId w:val="19"/>
        </w:numPr>
        <w:spacing w:after="120" w:line="240" w:lineRule="auto"/>
        <w:jc w:val="both"/>
        <w:rPr>
          <w:rFonts w:ascii="Times New Roman" w:hAnsi="Times New Roman"/>
          <w:color w:val="000000"/>
          <w:sz w:val="20"/>
          <w:szCs w:val="20"/>
        </w:rPr>
      </w:pPr>
      <w:r>
        <w:rPr>
          <w:rFonts w:ascii="Times New Roman" w:hAnsi="Times New Roman"/>
          <w:color w:val="000000"/>
          <w:sz w:val="20"/>
          <w:szCs w:val="20"/>
        </w:rPr>
        <w:t>wskazać, czy wprowadzane są obciążenia poza bezwzględnie wymaganymi</w:t>
      </w:r>
      <w:r w:rsidR="00FC49EF">
        <w:rPr>
          <w:rFonts w:ascii="Times New Roman" w:hAnsi="Times New Roman"/>
          <w:color w:val="000000"/>
          <w:sz w:val="20"/>
          <w:szCs w:val="20"/>
        </w:rPr>
        <w:t xml:space="preserve"> przez UE</w:t>
      </w:r>
      <w:r>
        <w:rPr>
          <w:rFonts w:ascii="Times New Roman" w:hAnsi="Times New Roman"/>
          <w:color w:val="000000"/>
          <w:sz w:val="20"/>
          <w:szCs w:val="20"/>
        </w:rPr>
        <w:t>,</w:t>
      </w:r>
    </w:p>
    <w:p w14:paraId="340A26E1" w14:textId="77777777" w:rsidR="002172F1" w:rsidRDefault="002172F1" w:rsidP="0066091B">
      <w:pPr>
        <w:numPr>
          <w:ilvl w:val="0"/>
          <w:numId w:val="19"/>
        </w:numPr>
        <w:spacing w:after="120" w:line="240" w:lineRule="auto"/>
        <w:jc w:val="both"/>
        <w:rPr>
          <w:rFonts w:ascii="Times New Roman" w:hAnsi="Times New Roman"/>
          <w:color w:val="000000"/>
          <w:sz w:val="20"/>
          <w:szCs w:val="20"/>
        </w:rPr>
      </w:pPr>
      <w:r>
        <w:rPr>
          <w:rFonts w:ascii="Times New Roman" w:hAnsi="Times New Roman"/>
          <w:color w:val="000000"/>
          <w:sz w:val="20"/>
          <w:szCs w:val="20"/>
        </w:rPr>
        <w:t xml:space="preserve">wskazać, czy dane obciążenia są przystosowane do ich ewentualnej elektronizacji </w:t>
      </w:r>
      <w:r w:rsidR="00D218DC">
        <w:rPr>
          <w:rFonts w:ascii="Times New Roman" w:hAnsi="Times New Roman"/>
          <w:color w:val="000000"/>
          <w:sz w:val="20"/>
          <w:szCs w:val="20"/>
        </w:rPr>
        <w:t xml:space="preserve">(dotyczy </w:t>
      </w:r>
      <w:proofErr w:type="gramStart"/>
      <w:r w:rsidR="00D218DC">
        <w:rPr>
          <w:rFonts w:ascii="Times New Roman" w:hAnsi="Times New Roman"/>
          <w:color w:val="000000"/>
          <w:sz w:val="20"/>
          <w:szCs w:val="20"/>
        </w:rPr>
        <w:t>sytuacji</w:t>
      </w:r>
      <w:proofErr w:type="gramEnd"/>
      <w:r w:rsidR="00D218DC">
        <w:rPr>
          <w:rFonts w:ascii="Times New Roman" w:hAnsi="Times New Roman"/>
          <w:color w:val="000000"/>
          <w:sz w:val="20"/>
          <w:szCs w:val="20"/>
        </w:rPr>
        <w:t xml:space="preserve"> kiedy wprowadzane </w:t>
      </w:r>
      <w:r w:rsidR="00C33027">
        <w:rPr>
          <w:rFonts w:ascii="Times New Roman" w:hAnsi="Times New Roman"/>
          <w:color w:val="000000"/>
          <w:sz w:val="20"/>
          <w:szCs w:val="20"/>
        </w:rPr>
        <w:t>obciążenia wpływają</w:t>
      </w:r>
      <w:r w:rsidR="00D218DC">
        <w:rPr>
          <w:rFonts w:ascii="Times New Roman" w:hAnsi="Times New Roman"/>
          <w:color w:val="000000"/>
          <w:sz w:val="20"/>
          <w:szCs w:val="20"/>
        </w:rPr>
        <w:t xml:space="preserve"> na systemy teleinformatyczne podmiotów publicznych lub na podmioty prywatne – przedsiębior</w:t>
      </w:r>
      <w:r w:rsidR="002B3D1A">
        <w:rPr>
          <w:rFonts w:ascii="Times New Roman" w:hAnsi="Times New Roman"/>
          <w:color w:val="000000"/>
          <w:sz w:val="20"/>
          <w:szCs w:val="20"/>
        </w:rPr>
        <w:t>cy</w:t>
      </w:r>
      <w:r w:rsidR="00D218DC">
        <w:rPr>
          <w:rFonts w:ascii="Times New Roman" w:hAnsi="Times New Roman"/>
          <w:color w:val="000000"/>
          <w:sz w:val="20"/>
          <w:szCs w:val="20"/>
        </w:rPr>
        <w:t xml:space="preserve">, </w:t>
      </w:r>
      <w:r w:rsidR="002B3D1A">
        <w:rPr>
          <w:rFonts w:ascii="Times New Roman" w:hAnsi="Times New Roman"/>
          <w:color w:val="000000"/>
          <w:sz w:val="20"/>
          <w:szCs w:val="20"/>
        </w:rPr>
        <w:t>obywatele</w:t>
      </w:r>
      <w:r w:rsidR="00D218DC">
        <w:rPr>
          <w:rFonts w:ascii="Times New Roman" w:hAnsi="Times New Roman"/>
          <w:color w:val="000000"/>
          <w:sz w:val="20"/>
          <w:szCs w:val="20"/>
        </w:rPr>
        <w:t>).</w:t>
      </w:r>
    </w:p>
    <w:p w14:paraId="79E9A0F0" w14:textId="77777777" w:rsidR="004244A8" w:rsidRDefault="004244A8" w:rsidP="004244A8">
      <w:pPr>
        <w:spacing w:after="120" w:line="240" w:lineRule="auto"/>
        <w:ind w:left="360"/>
        <w:jc w:val="both"/>
        <w:rPr>
          <w:rFonts w:ascii="Times New Roman" w:hAnsi="Times New Roman"/>
          <w:color w:val="000000"/>
          <w:sz w:val="20"/>
          <w:szCs w:val="20"/>
        </w:rPr>
      </w:pPr>
      <w:r>
        <w:rPr>
          <w:rFonts w:ascii="Times New Roman" w:hAnsi="Times New Roman"/>
          <w:color w:val="000000"/>
          <w:sz w:val="20"/>
          <w:szCs w:val="20"/>
        </w:rPr>
        <w:t>W komentarzu proszę o zwięzłe opisanie zakresu zmian dotyczących obciążeń regulacyjnych.</w:t>
      </w:r>
    </w:p>
    <w:p w14:paraId="38BC2E25" w14:textId="77777777" w:rsidR="00522D94" w:rsidRPr="00D86AFF" w:rsidRDefault="00522D94" w:rsidP="00522D94">
      <w:pPr>
        <w:numPr>
          <w:ilvl w:val="0"/>
          <w:numId w:val="9"/>
        </w:numPr>
        <w:spacing w:after="120" w:line="240" w:lineRule="auto"/>
        <w:jc w:val="both"/>
        <w:rPr>
          <w:rFonts w:ascii="Times New Roman" w:hAnsi="Times New Roman"/>
          <w:b/>
          <w:sz w:val="20"/>
          <w:szCs w:val="20"/>
        </w:rPr>
      </w:pPr>
      <w:r w:rsidRPr="00D86AFF">
        <w:rPr>
          <w:rFonts w:ascii="Times New Roman" w:hAnsi="Times New Roman"/>
          <w:b/>
          <w:color w:val="000000"/>
          <w:sz w:val="20"/>
          <w:szCs w:val="20"/>
        </w:rPr>
        <w:t>Wpływ na rynek pracy</w:t>
      </w:r>
    </w:p>
    <w:p w14:paraId="29502F37" w14:textId="77777777" w:rsidR="00D86AFF" w:rsidRDefault="00C50B42" w:rsidP="0057189C">
      <w:pPr>
        <w:spacing w:after="120" w:line="240" w:lineRule="auto"/>
        <w:ind w:left="357"/>
        <w:jc w:val="both"/>
        <w:rPr>
          <w:rFonts w:ascii="Times New Roman" w:hAnsi="Times New Roman"/>
          <w:color w:val="000000"/>
          <w:sz w:val="20"/>
          <w:szCs w:val="20"/>
        </w:rPr>
      </w:pPr>
      <w:r>
        <w:rPr>
          <w:rFonts w:ascii="Times New Roman" w:hAnsi="Times New Roman"/>
          <w:color w:val="000000"/>
          <w:sz w:val="20"/>
          <w:szCs w:val="20"/>
        </w:rPr>
        <w:t xml:space="preserve">Proszę </w:t>
      </w:r>
      <w:r w:rsidR="00D86AFF" w:rsidRPr="00D86AFF">
        <w:rPr>
          <w:rFonts w:ascii="Times New Roman" w:hAnsi="Times New Roman"/>
          <w:color w:val="000000"/>
          <w:sz w:val="20"/>
          <w:szCs w:val="20"/>
        </w:rPr>
        <w:t>opisać</w:t>
      </w:r>
      <w:r w:rsidR="007318DD">
        <w:rPr>
          <w:rFonts w:ascii="Times New Roman" w:hAnsi="Times New Roman"/>
          <w:color w:val="000000"/>
          <w:sz w:val="20"/>
          <w:szCs w:val="20"/>
        </w:rPr>
        <w:t>,</w:t>
      </w:r>
      <w:r w:rsidR="00D86AFF" w:rsidRPr="00D86AFF">
        <w:rPr>
          <w:rFonts w:ascii="Times New Roman" w:hAnsi="Times New Roman"/>
          <w:color w:val="000000"/>
          <w:sz w:val="20"/>
          <w:szCs w:val="20"/>
        </w:rPr>
        <w:t xml:space="preserve"> czy i w jaki sposób </w:t>
      </w:r>
      <w:r w:rsidR="004244A8">
        <w:rPr>
          <w:rFonts w:ascii="Times New Roman" w:hAnsi="Times New Roman"/>
          <w:color w:val="000000"/>
          <w:sz w:val="20"/>
          <w:szCs w:val="20"/>
        </w:rPr>
        <w:t>projektowana regulacj</w:t>
      </w:r>
      <w:r w:rsidR="00B7770F">
        <w:rPr>
          <w:rFonts w:ascii="Times New Roman" w:hAnsi="Times New Roman"/>
          <w:color w:val="000000"/>
          <w:sz w:val="20"/>
          <w:szCs w:val="20"/>
        </w:rPr>
        <w:t>a</w:t>
      </w:r>
      <w:r w:rsidR="00D86AFF" w:rsidRPr="00D86AFF">
        <w:rPr>
          <w:rFonts w:ascii="Times New Roman" w:hAnsi="Times New Roman"/>
          <w:color w:val="000000"/>
          <w:sz w:val="20"/>
          <w:szCs w:val="20"/>
        </w:rPr>
        <w:t xml:space="preserve"> mo</w:t>
      </w:r>
      <w:r w:rsidR="004244A8">
        <w:rPr>
          <w:rFonts w:ascii="Times New Roman" w:hAnsi="Times New Roman"/>
          <w:color w:val="000000"/>
          <w:sz w:val="20"/>
          <w:szCs w:val="20"/>
        </w:rPr>
        <w:t>że</w:t>
      </w:r>
      <w:r w:rsidR="00D86AFF" w:rsidRPr="00D86AFF">
        <w:rPr>
          <w:rFonts w:ascii="Times New Roman" w:hAnsi="Times New Roman"/>
          <w:color w:val="000000"/>
          <w:sz w:val="20"/>
          <w:szCs w:val="20"/>
        </w:rPr>
        <w:t xml:space="preserve"> spowodować zmiany na rynku pracy w </w:t>
      </w:r>
      <w:r w:rsidR="00880F26">
        <w:rPr>
          <w:rFonts w:ascii="Times New Roman" w:hAnsi="Times New Roman"/>
          <w:color w:val="000000"/>
          <w:sz w:val="20"/>
          <w:szCs w:val="20"/>
        </w:rPr>
        <w:t>odniesieniu do</w:t>
      </w:r>
      <w:r w:rsidR="00880F26" w:rsidRPr="00D86AFF">
        <w:rPr>
          <w:rFonts w:ascii="Times New Roman" w:hAnsi="Times New Roman"/>
          <w:color w:val="000000"/>
          <w:sz w:val="20"/>
          <w:szCs w:val="20"/>
        </w:rPr>
        <w:t xml:space="preserve"> </w:t>
      </w:r>
      <w:r w:rsidR="001A118A">
        <w:rPr>
          <w:rFonts w:ascii="Times New Roman" w:hAnsi="Times New Roman"/>
          <w:color w:val="000000"/>
          <w:sz w:val="20"/>
          <w:szCs w:val="20"/>
        </w:rPr>
        <w:t>zatrudnienia</w:t>
      </w:r>
      <w:r w:rsidR="00880F26">
        <w:rPr>
          <w:rFonts w:ascii="Times New Roman" w:hAnsi="Times New Roman"/>
          <w:color w:val="000000"/>
          <w:sz w:val="20"/>
          <w:szCs w:val="20"/>
        </w:rPr>
        <w:t xml:space="preserve"> oraz innych wskaźników </w:t>
      </w:r>
      <w:r w:rsidR="00D86AFF" w:rsidRPr="00D86AFF">
        <w:rPr>
          <w:rFonts w:ascii="Times New Roman" w:hAnsi="Times New Roman"/>
          <w:color w:val="000000"/>
          <w:sz w:val="20"/>
          <w:szCs w:val="20"/>
        </w:rPr>
        <w:t>(</w:t>
      </w:r>
      <w:r w:rsidR="00880F26">
        <w:rPr>
          <w:rFonts w:ascii="Times New Roman" w:hAnsi="Times New Roman"/>
          <w:color w:val="000000"/>
          <w:sz w:val="20"/>
          <w:szCs w:val="20"/>
        </w:rPr>
        <w:t xml:space="preserve">np. </w:t>
      </w:r>
      <w:r w:rsidR="00D86AFF" w:rsidRPr="00D86AFF">
        <w:rPr>
          <w:rFonts w:ascii="Times New Roman" w:hAnsi="Times New Roman"/>
          <w:color w:val="000000"/>
          <w:sz w:val="20"/>
          <w:szCs w:val="20"/>
        </w:rPr>
        <w:t>czas</w:t>
      </w:r>
      <w:r w:rsidR="004244A8">
        <w:rPr>
          <w:rFonts w:ascii="Times New Roman" w:hAnsi="Times New Roman"/>
          <w:color w:val="000000"/>
          <w:sz w:val="20"/>
          <w:szCs w:val="20"/>
        </w:rPr>
        <w:t>u</w:t>
      </w:r>
      <w:r w:rsidR="00D86AFF" w:rsidRPr="00D86AFF">
        <w:rPr>
          <w:rFonts w:ascii="Times New Roman" w:hAnsi="Times New Roman"/>
          <w:color w:val="000000"/>
          <w:sz w:val="20"/>
          <w:szCs w:val="20"/>
        </w:rPr>
        <w:t xml:space="preserve"> poszukiwania pracy, kwalifikacj</w:t>
      </w:r>
      <w:r w:rsidR="004244A8">
        <w:rPr>
          <w:rFonts w:ascii="Times New Roman" w:hAnsi="Times New Roman"/>
          <w:color w:val="000000"/>
          <w:sz w:val="20"/>
          <w:szCs w:val="20"/>
        </w:rPr>
        <w:t>i</w:t>
      </w:r>
      <w:r w:rsidR="00880F26">
        <w:rPr>
          <w:rFonts w:ascii="Times New Roman" w:hAnsi="Times New Roman"/>
          <w:color w:val="000000"/>
          <w:sz w:val="20"/>
          <w:szCs w:val="20"/>
        </w:rPr>
        <w:t xml:space="preserve"> pracowników</w:t>
      </w:r>
      <w:r w:rsidR="00D86AFF" w:rsidRPr="00D86AFF">
        <w:rPr>
          <w:rFonts w:ascii="Times New Roman" w:hAnsi="Times New Roman"/>
          <w:color w:val="000000"/>
          <w:sz w:val="20"/>
          <w:szCs w:val="20"/>
        </w:rPr>
        <w:t>).</w:t>
      </w:r>
      <w:r w:rsidR="001A118A">
        <w:rPr>
          <w:rFonts w:ascii="Times New Roman" w:hAnsi="Times New Roman"/>
          <w:color w:val="000000"/>
          <w:sz w:val="20"/>
          <w:szCs w:val="20"/>
        </w:rPr>
        <w:t xml:space="preserve"> </w:t>
      </w:r>
    </w:p>
    <w:p w14:paraId="5BBFAE75" w14:textId="77777777" w:rsidR="00255DAD" w:rsidRDefault="00880F26" w:rsidP="00E2371E">
      <w:pPr>
        <w:spacing w:after="120"/>
        <w:ind w:left="360"/>
        <w:jc w:val="both"/>
        <w:rPr>
          <w:rFonts w:ascii="Times New Roman" w:hAnsi="Times New Roman"/>
          <w:sz w:val="20"/>
          <w:szCs w:val="20"/>
        </w:rPr>
      </w:pPr>
      <w:r>
        <w:rPr>
          <w:rFonts w:ascii="Times New Roman" w:hAnsi="Times New Roman"/>
          <w:sz w:val="20"/>
          <w:szCs w:val="20"/>
        </w:rPr>
        <w:t>J</w:t>
      </w:r>
      <w:r w:rsidR="00E2371E">
        <w:rPr>
          <w:rFonts w:ascii="Times New Roman" w:hAnsi="Times New Roman"/>
          <w:sz w:val="20"/>
          <w:szCs w:val="20"/>
        </w:rPr>
        <w:t>eżeli projekt</w:t>
      </w:r>
      <w:r>
        <w:rPr>
          <w:rFonts w:ascii="Times New Roman" w:hAnsi="Times New Roman"/>
          <w:sz w:val="20"/>
          <w:szCs w:val="20"/>
        </w:rPr>
        <w:t xml:space="preserve"> ma charakter przekrojowy i</w:t>
      </w:r>
      <w:r w:rsidR="00E2371E">
        <w:rPr>
          <w:rFonts w:ascii="Times New Roman" w:hAnsi="Times New Roman"/>
          <w:sz w:val="20"/>
          <w:szCs w:val="20"/>
        </w:rPr>
        <w:t xml:space="preserve"> dotyczy </w:t>
      </w:r>
      <w:r>
        <w:rPr>
          <w:rFonts w:ascii="Times New Roman" w:hAnsi="Times New Roman"/>
          <w:sz w:val="20"/>
          <w:szCs w:val="20"/>
        </w:rPr>
        <w:t>wielu zagadnień</w:t>
      </w:r>
      <w:r w:rsidR="00E2371E">
        <w:rPr>
          <w:rFonts w:ascii="Times New Roman" w:hAnsi="Times New Roman"/>
          <w:sz w:val="20"/>
          <w:szCs w:val="20"/>
        </w:rPr>
        <w:t xml:space="preserve"> (np. ustawa deregulująca zawody, ustawa o ułatwieniu wykonywania działalności gospodarczej) proszę dokonać analizy wpływu dla najważniejszych zmian.</w:t>
      </w:r>
    </w:p>
    <w:p w14:paraId="13ACB9DF" w14:textId="77777777" w:rsidR="00522D94" w:rsidRPr="00D86AFF" w:rsidRDefault="00522D94" w:rsidP="00522D94">
      <w:pPr>
        <w:numPr>
          <w:ilvl w:val="0"/>
          <w:numId w:val="9"/>
        </w:numPr>
        <w:spacing w:after="120" w:line="240" w:lineRule="auto"/>
        <w:jc w:val="both"/>
        <w:rPr>
          <w:rFonts w:ascii="Times New Roman" w:hAnsi="Times New Roman"/>
          <w:b/>
          <w:sz w:val="20"/>
          <w:szCs w:val="20"/>
        </w:rPr>
      </w:pPr>
      <w:r w:rsidRPr="00D86AFF">
        <w:rPr>
          <w:rFonts w:ascii="Times New Roman" w:hAnsi="Times New Roman"/>
          <w:b/>
          <w:color w:val="000000"/>
          <w:sz w:val="20"/>
          <w:szCs w:val="20"/>
        </w:rPr>
        <w:t>Wpływ na pozostałe obszary</w:t>
      </w:r>
    </w:p>
    <w:p w14:paraId="0285B06D" w14:textId="77777777" w:rsidR="006316FA" w:rsidRDefault="00880F26" w:rsidP="0057189C">
      <w:pPr>
        <w:spacing w:after="120" w:line="240" w:lineRule="auto"/>
        <w:ind w:left="357"/>
        <w:jc w:val="both"/>
        <w:rPr>
          <w:rFonts w:ascii="Times New Roman" w:hAnsi="Times New Roman"/>
          <w:sz w:val="20"/>
          <w:szCs w:val="20"/>
        </w:rPr>
      </w:pPr>
      <w:r>
        <w:rPr>
          <w:rFonts w:ascii="Times New Roman" w:hAnsi="Times New Roman"/>
          <w:sz w:val="20"/>
          <w:szCs w:val="20"/>
        </w:rPr>
        <w:t>Proszę zaznaczyć pola - zakres oddziaływania projektu na obszary niewymienione</w:t>
      </w:r>
      <w:r w:rsidR="008648C3">
        <w:rPr>
          <w:rFonts w:ascii="Times New Roman" w:hAnsi="Times New Roman"/>
          <w:sz w:val="20"/>
          <w:szCs w:val="20"/>
        </w:rPr>
        <w:t xml:space="preserve"> w pkt 6, 7 i 9. Dla </w:t>
      </w:r>
      <w:r>
        <w:rPr>
          <w:rFonts w:ascii="Times New Roman" w:hAnsi="Times New Roman"/>
          <w:sz w:val="20"/>
          <w:szCs w:val="20"/>
        </w:rPr>
        <w:t>zaznaczonych</w:t>
      </w:r>
      <w:r w:rsidR="008648C3">
        <w:rPr>
          <w:rFonts w:ascii="Times New Roman" w:hAnsi="Times New Roman"/>
          <w:sz w:val="20"/>
          <w:szCs w:val="20"/>
        </w:rPr>
        <w:t xml:space="preserve"> obszarów proszę dokonać analizy wpływu. </w:t>
      </w:r>
    </w:p>
    <w:p w14:paraId="11E6F570" w14:textId="77777777" w:rsidR="006316FA" w:rsidRDefault="00880F26" w:rsidP="0057189C">
      <w:pPr>
        <w:spacing w:after="120" w:line="240" w:lineRule="auto"/>
        <w:ind w:left="357"/>
        <w:jc w:val="both"/>
        <w:rPr>
          <w:rFonts w:ascii="Times New Roman" w:hAnsi="Times New Roman"/>
          <w:color w:val="000000"/>
          <w:sz w:val="20"/>
          <w:szCs w:val="20"/>
        </w:rPr>
      </w:pPr>
      <w:r>
        <w:rPr>
          <w:rFonts w:ascii="Times New Roman" w:hAnsi="Times New Roman"/>
          <w:color w:val="000000"/>
          <w:sz w:val="20"/>
          <w:szCs w:val="20"/>
        </w:rPr>
        <w:t xml:space="preserve">W przypadku analizy </w:t>
      </w:r>
      <w:r w:rsidR="006316FA">
        <w:rPr>
          <w:rFonts w:ascii="Times New Roman" w:hAnsi="Times New Roman"/>
          <w:color w:val="000000"/>
          <w:sz w:val="20"/>
          <w:szCs w:val="20"/>
        </w:rPr>
        <w:t xml:space="preserve">wpływu na obszar „informatyzacja” </w:t>
      </w:r>
      <w:r>
        <w:rPr>
          <w:rFonts w:ascii="Times New Roman" w:hAnsi="Times New Roman"/>
          <w:color w:val="000000"/>
          <w:sz w:val="20"/>
          <w:szCs w:val="20"/>
        </w:rPr>
        <w:t>proszę w szczególności rozważyć następujące kwestie:</w:t>
      </w:r>
    </w:p>
    <w:p w14:paraId="0BD8C33F" w14:textId="77777777" w:rsidR="00880F26" w:rsidRPr="00880F26" w:rsidRDefault="006316FA" w:rsidP="00880F26">
      <w:pPr>
        <w:numPr>
          <w:ilvl w:val="0"/>
          <w:numId w:val="18"/>
        </w:numPr>
        <w:spacing w:line="240" w:lineRule="auto"/>
        <w:jc w:val="both"/>
        <w:rPr>
          <w:rFonts w:ascii="Times New Roman" w:hAnsi="Times New Roman"/>
          <w:sz w:val="20"/>
          <w:szCs w:val="20"/>
        </w:rPr>
      </w:pPr>
      <w:r>
        <w:rPr>
          <w:rFonts w:ascii="Times New Roman" w:hAnsi="Times New Roman"/>
          <w:color w:val="000000"/>
          <w:sz w:val="20"/>
          <w:szCs w:val="20"/>
        </w:rPr>
        <w:t>Czy projekt spełnia wymagania interoperacyjności</w:t>
      </w:r>
      <w:r w:rsidR="00F168CF">
        <w:rPr>
          <w:rFonts w:ascii="Times New Roman" w:hAnsi="Times New Roman"/>
          <w:color w:val="000000"/>
          <w:sz w:val="20"/>
          <w:szCs w:val="20"/>
        </w:rPr>
        <w:t xml:space="preserve"> </w:t>
      </w:r>
      <w:r w:rsidR="00880F26">
        <w:rPr>
          <w:rFonts w:ascii="Times New Roman" w:hAnsi="Times New Roman"/>
          <w:color w:val="000000"/>
          <w:sz w:val="20"/>
          <w:szCs w:val="20"/>
        </w:rPr>
        <w:t>(</w:t>
      </w:r>
      <w:r w:rsidR="00F168CF">
        <w:rPr>
          <w:rFonts w:ascii="Times New Roman" w:hAnsi="Times New Roman"/>
          <w:color w:val="000000"/>
          <w:sz w:val="20"/>
          <w:szCs w:val="20"/>
        </w:rPr>
        <w:t>zdolność sieci do efektywnej współpracy w celu zapewnienia wzajemnego dostępu użytkowników do usług świadczonych w tych sieciach</w:t>
      </w:r>
      <w:r w:rsidR="00880F26">
        <w:rPr>
          <w:rFonts w:ascii="Times New Roman" w:hAnsi="Times New Roman"/>
          <w:color w:val="000000"/>
          <w:sz w:val="20"/>
          <w:szCs w:val="20"/>
        </w:rPr>
        <w:t>)</w:t>
      </w:r>
      <w:r>
        <w:rPr>
          <w:rFonts w:ascii="Times New Roman" w:hAnsi="Times New Roman"/>
          <w:color w:val="000000"/>
          <w:sz w:val="20"/>
          <w:szCs w:val="20"/>
        </w:rPr>
        <w:t xml:space="preserve">? </w:t>
      </w:r>
    </w:p>
    <w:p w14:paraId="56922DA8" w14:textId="77777777" w:rsidR="006316FA" w:rsidRDefault="006316FA" w:rsidP="0057189C">
      <w:pPr>
        <w:numPr>
          <w:ilvl w:val="0"/>
          <w:numId w:val="18"/>
        </w:numPr>
        <w:spacing w:after="120" w:line="240" w:lineRule="auto"/>
        <w:ind w:left="1077" w:hanging="357"/>
        <w:jc w:val="both"/>
        <w:rPr>
          <w:rFonts w:ascii="Times New Roman" w:hAnsi="Times New Roman"/>
          <w:sz w:val="20"/>
          <w:szCs w:val="20"/>
        </w:rPr>
      </w:pPr>
      <w:r>
        <w:rPr>
          <w:rFonts w:ascii="Times New Roman" w:hAnsi="Times New Roman"/>
          <w:color w:val="000000"/>
          <w:sz w:val="20"/>
          <w:szCs w:val="20"/>
        </w:rPr>
        <w:t>Czy projekt spełnia wymogi</w:t>
      </w:r>
      <w:r w:rsidR="00880F26">
        <w:rPr>
          <w:rFonts w:ascii="Times New Roman" w:hAnsi="Times New Roman"/>
          <w:color w:val="000000"/>
          <w:sz w:val="20"/>
          <w:szCs w:val="20"/>
        </w:rPr>
        <w:t xml:space="preserve"> </w:t>
      </w:r>
      <w:r>
        <w:rPr>
          <w:rFonts w:ascii="Times New Roman" w:hAnsi="Times New Roman"/>
          <w:color w:val="000000"/>
          <w:sz w:val="20"/>
          <w:szCs w:val="20"/>
        </w:rPr>
        <w:t>neutralności technologicznej,</w:t>
      </w:r>
      <w:r w:rsidR="00880F26">
        <w:rPr>
          <w:rFonts w:ascii="Times New Roman" w:hAnsi="Times New Roman"/>
          <w:color w:val="000000"/>
          <w:sz w:val="20"/>
          <w:szCs w:val="20"/>
        </w:rPr>
        <w:t xml:space="preserve"> </w:t>
      </w:r>
      <w:r>
        <w:rPr>
          <w:rFonts w:ascii="Times New Roman" w:hAnsi="Times New Roman"/>
          <w:color w:val="000000"/>
          <w:sz w:val="20"/>
          <w:szCs w:val="20"/>
        </w:rPr>
        <w:t xml:space="preserve">wielojęzyczności, elektronicznej </w:t>
      </w:r>
      <w:r w:rsidR="00C33027">
        <w:rPr>
          <w:rFonts w:ascii="Times New Roman" w:hAnsi="Times New Roman"/>
          <w:color w:val="000000"/>
          <w:sz w:val="20"/>
          <w:szCs w:val="20"/>
        </w:rPr>
        <w:t>komunikacji, wykorzystania</w:t>
      </w:r>
      <w:r>
        <w:rPr>
          <w:rFonts w:ascii="Times New Roman" w:hAnsi="Times New Roman"/>
          <w:color w:val="000000"/>
          <w:sz w:val="20"/>
          <w:szCs w:val="20"/>
        </w:rPr>
        <w:t xml:space="preserve"> danych z rejestrów publicznych, ochrony danych osobowych?</w:t>
      </w:r>
    </w:p>
    <w:p w14:paraId="6D7FEED7" w14:textId="77777777" w:rsidR="00BF6667" w:rsidRPr="00D93C2B" w:rsidRDefault="00BF6667" w:rsidP="0057189C">
      <w:pPr>
        <w:spacing w:after="120" w:line="240" w:lineRule="auto"/>
        <w:ind w:left="357"/>
        <w:jc w:val="both"/>
        <w:rPr>
          <w:rFonts w:ascii="Times New Roman" w:hAnsi="Times New Roman"/>
          <w:sz w:val="20"/>
          <w:szCs w:val="20"/>
        </w:rPr>
      </w:pPr>
      <w:r w:rsidRPr="00D93C2B">
        <w:rPr>
          <w:rFonts w:ascii="Times New Roman" w:hAnsi="Times New Roman"/>
          <w:sz w:val="20"/>
          <w:szCs w:val="20"/>
        </w:rPr>
        <w:t xml:space="preserve">W przypadku analizy wpływu na obszar „sądy powszechne, administracyjne </w:t>
      </w:r>
      <w:r w:rsidR="007C122A">
        <w:rPr>
          <w:rFonts w:ascii="Times New Roman" w:hAnsi="Times New Roman"/>
          <w:sz w:val="20"/>
          <w:szCs w:val="20"/>
        </w:rPr>
        <w:t>lub</w:t>
      </w:r>
      <w:r w:rsidRPr="00D93C2B">
        <w:rPr>
          <w:rFonts w:ascii="Times New Roman" w:hAnsi="Times New Roman"/>
          <w:sz w:val="20"/>
          <w:szCs w:val="20"/>
        </w:rPr>
        <w:t xml:space="preserve"> wojskowe” proszę w szczególności </w:t>
      </w:r>
      <w:r w:rsidR="006D46C4" w:rsidRPr="00D93C2B">
        <w:rPr>
          <w:rFonts w:ascii="Times New Roman" w:hAnsi="Times New Roman"/>
          <w:sz w:val="20"/>
          <w:szCs w:val="20"/>
        </w:rPr>
        <w:t>uwzględnić</w:t>
      </w:r>
      <w:r w:rsidRPr="00D93C2B">
        <w:rPr>
          <w:rFonts w:ascii="Times New Roman" w:hAnsi="Times New Roman"/>
          <w:sz w:val="20"/>
          <w:szCs w:val="20"/>
        </w:rPr>
        <w:t xml:space="preserve"> wpływ regulacji </w:t>
      </w:r>
      <w:r w:rsidR="006D46C4" w:rsidRPr="00D93C2B">
        <w:rPr>
          <w:rFonts w:ascii="Times New Roman" w:hAnsi="Times New Roman"/>
          <w:sz w:val="20"/>
          <w:szCs w:val="20"/>
        </w:rPr>
        <w:t>na zmianę zakresu</w:t>
      </w:r>
      <w:r w:rsidRPr="00D93C2B">
        <w:rPr>
          <w:rFonts w:ascii="Times New Roman" w:hAnsi="Times New Roman"/>
          <w:sz w:val="20"/>
          <w:szCs w:val="20"/>
        </w:rPr>
        <w:t xml:space="preserve"> kognicji sądów oraz ich funkcjonowanie</w:t>
      </w:r>
      <w:r w:rsidR="006D46C4" w:rsidRPr="00D93C2B">
        <w:rPr>
          <w:rFonts w:ascii="Times New Roman" w:hAnsi="Times New Roman"/>
          <w:sz w:val="20"/>
          <w:szCs w:val="20"/>
        </w:rPr>
        <w:t>, a także związane z tym skutki finansowe</w:t>
      </w:r>
      <w:r w:rsidRPr="00D93C2B">
        <w:rPr>
          <w:rFonts w:ascii="Times New Roman" w:hAnsi="Times New Roman"/>
          <w:sz w:val="20"/>
          <w:szCs w:val="20"/>
        </w:rPr>
        <w:t>.</w:t>
      </w:r>
    </w:p>
    <w:p w14:paraId="7DC46012" w14:textId="77777777" w:rsidR="008648C3" w:rsidRDefault="008648C3" w:rsidP="0057189C">
      <w:pPr>
        <w:spacing w:after="120" w:line="240" w:lineRule="auto"/>
        <w:ind w:left="357"/>
        <w:jc w:val="both"/>
        <w:rPr>
          <w:rFonts w:ascii="Times New Roman" w:hAnsi="Times New Roman"/>
          <w:sz w:val="20"/>
          <w:szCs w:val="20"/>
        </w:rPr>
      </w:pPr>
      <w:r>
        <w:rPr>
          <w:rFonts w:ascii="Times New Roman" w:hAnsi="Times New Roman"/>
          <w:sz w:val="20"/>
          <w:szCs w:val="20"/>
        </w:rPr>
        <w:lastRenderedPageBreak/>
        <w:t>Jeżeli projekt będzie miał wpływ na inne niż wymienione w pkt 10 obszary proszę zaznaczyć „inne” oraz je wymienić. Proszę również omówić wpływ</w:t>
      </w:r>
      <w:r w:rsidR="00B57E5E">
        <w:rPr>
          <w:rFonts w:ascii="Times New Roman" w:hAnsi="Times New Roman"/>
          <w:sz w:val="20"/>
          <w:szCs w:val="20"/>
        </w:rPr>
        <w:t>,</w:t>
      </w:r>
      <w:r>
        <w:rPr>
          <w:rFonts w:ascii="Times New Roman" w:hAnsi="Times New Roman"/>
          <w:sz w:val="20"/>
          <w:szCs w:val="20"/>
        </w:rPr>
        <w:t xml:space="preserve"> jaki będzie miała projektowana regulacja na wymienione obszary.</w:t>
      </w:r>
    </w:p>
    <w:p w14:paraId="32567800" w14:textId="77777777" w:rsidR="008648C3" w:rsidRDefault="00880F26" w:rsidP="00D86AFF">
      <w:pPr>
        <w:spacing w:after="120" w:line="240" w:lineRule="auto"/>
        <w:ind w:left="360"/>
        <w:jc w:val="both"/>
        <w:rPr>
          <w:rFonts w:ascii="Times New Roman" w:hAnsi="Times New Roman"/>
          <w:sz w:val="20"/>
          <w:szCs w:val="20"/>
        </w:rPr>
      </w:pPr>
      <w:r>
        <w:rPr>
          <w:rFonts w:ascii="Times New Roman" w:hAnsi="Times New Roman"/>
          <w:sz w:val="20"/>
          <w:szCs w:val="20"/>
        </w:rPr>
        <w:t>Jeżeli projekt ma charakter przekrojowy i dotyczy wielu zagadnień</w:t>
      </w:r>
      <w:r w:rsidRPr="00305B8A" w:rsidDel="00880F26">
        <w:rPr>
          <w:rFonts w:ascii="Times New Roman" w:hAnsi="Times New Roman"/>
          <w:sz w:val="20"/>
          <w:szCs w:val="20"/>
        </w:rPr>
        <w:t xml:space="preserve"> </w:t>
      </w:r>
      <w:r w:rsidR="00305B8A" w:rsidRPr="00305B8A">
        <w:rPr>
          <w:rFonts w:ascii="Times New Roman" w:hAnsi="Times New Roman"/>
          <w:sz w:val="20"/>
          <w:szCs w:val="20"/>
        </w:rPr>
        <w:t>(np. ustawa deregulująca zawody, ustawa o ułatwieniu wykonywania działalności gospodarczej) proszę dokonać analizy wpływu dla najważniejszych zmian.</w:t>
      </w:r>
    </w:p>
    <w:p w14:paraId="5F6AB3AD" w14:textId="77777777" w:rsidR="00522D94" w:rsidRPr="009D0655" w:rsidRDefault="00522D94" w:rsidP="00522D94">
      <w:pPr>
        <w:numPr>
          <w:ilvl w:val="0"/>
          <w:numId w:val="9"/>
        </w:numPr>
        <w:spacing w:after="120" w:line="240" w:lineRule="auto"/>
        <w:jc w:val="both"/>
        <w:rPr>
          <w:rFonts w:ascii="Times New Roman" w:hAnsi="Times New Roman"/>
          <w:b/>
          <w:sz w:val="20"/>
          <w:szCs w:val="20"/>
        </w:rPr>
      </w:pPr>
      <w:r w:rsidRPr="00522D94">
        <w:rPr>
          <w:rFonts w:ascii="Times New Roman" w:hAnsi="Times New Roman"/>
          <w:b/>
          <w:spacing w:val="-2"/>
          <w:sz w:val="20"/>
          <w:szCs w:val="20"/>
        </w:rPr>
        <w:t>Planowane wykonanie przepisów aktu prawnego</w:t>
      </w:r>
    </w:p>
    <w:p w14:paraId="22C34BA3" w14:textId="77777777" w:rsidR="0064074F" w:rsidRDefault="0064074F" w:rsidP="0064074F">
      <w:pPr>
        <w:spacing w:after="120" w:line="240" w:lineRule="auto"/>
        <w:ind w:left="360"/>
        <w:jc w:val="both"/>
        <w:rPr>
          <w:rFonts w:ascii="Times New Roman" w:hAnsi="Times New Roman"/>
          <w:spacing w:val="-2"/>
          <w:sz w:val="20"/>
          <w:szCs w:val="20"/>
        </w:rPr>
      </w:pPr>
      <w:r>
        <w:rPr>
          <w:rFonts w:ascii="Times New Roman" w:hAnsi="Times New Roman"/>
          <w:spacing w:val="-2"/>
          <w:sz w:val="20"/>
          <w:szCs w:val="20"/>
        </w:rPr>
        <w:t>Proszę</w:t>
      </w:r>
      <w:r w:rsidRPr="00EE137C">
        <w:rPr>
          <w:rFonts w:ascii="Times New Roman" w:hAnsi="Times New Roman"/>
          <w:spacing w:val="-2"/>
          <w:sz w:val="20"/>
          <w:szCs w:val="20"/>
        </w:rPr>
        <w:t xml:space="preserve"> </w:t>
      </w:r>
      <w:proofErr w:type="gramStart"/>
      <w:r w:rsidRPr="00EE137C">
        <w:rPr>
          <w:rFonts w:ascii="Times New Roman" w:hAnsi="Times New Roman"/>
          <w:spacing w:val="-2"/>
          <w:sz w:val="20"/>
          <w:szCs w:val="20"/>
        </w:rPr>
        <w:t>opisać</w:t>
      </w:r>
      <w:proofErr w:type="gramEnd"/>
      <w:r w:rsidRPr="00EE137C">
        <w:rPr>
          <w:rFonts w:ascii="Times New Roman" w:hAnsi="Times New Roman"/>
          <w:spacing w:val="-2"/>
          <w:sz w:val="20"/>
          <w:szCs w:val="20"/>
        </w:rPr>
        <w:t xml:space="preserve"> kiedy planuj</w:t>
      </w:r>
      <w:r>
        <w:rPr>
          <w:rFonts w:ascii="Times New Roman" w:hAnsi="Times New Roman"/>
          <w:spacing w:val="-2"/>
          <w:sz w:val="20"/>
          <w:szCs w:val="20"/>
        </w:rPr>
        <w:t>e</w:t>
      </w:r>
      <w:r w:rsidRPr="00EE137C">
        <w:rPr>
          <w:rFonts w:ascii="Times New Roman" w:hAnsi="Times New Roman"/>
          <w:spacing w:val="-2"/>
          <w:sz w:val="20"/>
          <w:szCs w:val="20"/>
        </w:rPr>
        <w:t xml:space="preserve"> się rozwiązanie problemu zidentyfikowanego w pkt 1</w:t>
      </w:r>
      <w:r>
        <w:rPr>
          <w:rFonts w:ascii="Times New Roman" w:hAnsi="Times New Roman"/>
          <w:spacing w:val="-2"/>
          <w:sz w:val="20"/>
          <w:szCs w:val="20"/>
        </w:rPr>
        <w:t xml:space="preserve"> (</w:t>
      </w:r>
      <w:r w:rsidRPr="00EE137C">
        <w:rPr>
          <w:rFonts w:ascii="Times New Roman" w:hAnsi="Times New Roman"/>
          <w:spacing w:val="-2"/>
          <w:sz w:val="20"/>
          <w:szCs w:val="20"/>
        </w:rPr>
        <w:t xml:space="preserve">wejście przepisów w życie nie </w:t>
      </w:r>
      <w:r>
        <w:rPr>
          <w:rFonts w:ascii="Times New Roman" w:hAnsi="Times New Roman"/>
          <w:spacing w:val="-2"/>
          <w:sz w:val="20"/>
          <w:szCs w:val="20"/>
        </w:rPr>
        <w:t xml:space="preserve">zawsze </w:t>
      </w:r>
      <w:r w:rsidRPr="00EE137C">
        <w:rPr>
          <w:rFonts w:ascii="Times New Roman" w:hAnsi="Times New Roman"/>
          <w:spacing w:val="-2"/>
          <w:sz w:val="20"/>
          <w:szCs w:val="20"/>
        </w:rPr>
        <w:t>rozwiązuje dan</w:t>
      </w:r>
      <w:r>
        <w:rPr>
          <w:rFonts w:ascii="Times New Roman" w:hAnsi="Times New Roman"/>
          <w:spacing w:val="-2"/>
          <w:sz w:val="20"/>
          <w:szCs w:val="20"/>
        </w:rPr>
        <w:t>y</w:t>
      </w:r>
      <w:r w:rsidRPr="00EE137C">
        <w:rPr>
          <w:rFonts w:ascii="Times New Roman" w:hAnsi="Times New Roman"/>
          <w:spacing w:val="-2"/>
          <w:sz w:val="20"/>
          <w:szCs w:val="20"/>
        </w:rPr>
        <w:t xml:space="preserve"> problem a jedynie daje podstawę do wdrożeni</w:t>
      </w:r>
      <w:r>
        <w:rPr>
          <w:rFonts w:ascii="Times New Roman" w:hAnsi="Times New Roman"/>
          <w:spacing w:val="-2"/>
          <w:sz w:val="20"/>
          <w:szCs w:val="20"/>
        </w:rPr>
        <w:t>a</w:t>
      </w:r>
      <w:r w:rsidRPr="00EE137C">
        <w:rPr>
          <w:rFonts w:ascii="Times New Roman" w:hAnsi="Times New Roman"/>
          <w:spacing w:val="-2"/>
          <w:sz w:val="20"/>
          <w:szCs w:val="20"/>
        </w:rPr>
        <w:t xml:space="preserve"> instrumentów do jego rozwiązania</w:t>
      </w:r>
      <w:r>
        <w:rPr>
          <w:rFonts w:ascii="Times New Roman" w:hAnsi="Times New Roman"/>
          <w:spacing w:val="-2"/>
          <w:sz w:val="20"/>
          <w:szCs w:val="20"/>
        </w:rPr>
        <w:t>)</w:t>
      </w:r>
      <w:r w:rsidRPr="00EE137C">
        <w:rPr>
          <w:rFonts w:ascii="Times New Roman" w:hAnsi="Times New Roman"/>
          <w:spacing w:val="-2"/>
          <w:sz w:val="20"/>
          <w:szCs w:val="20"/>
        </w:rPr>
        <w:t>.</w:t>
      </w:r>
      <w:r>
        <w:rPr>
          <w:rFonts w:ascii="Times New Roman" w:hAnsi="Times New Roman"/>
          <w:spacing w:val="-2"/>
          <w:sz w:val="20"/>
          <w:szCs w:val="20"/>
        </w:rPr>
        <w:t xml:space="preserve"> Proszę przedstawić harmonogram wdrożenia działań wykonania aktu prawnego (np. gdy rozwiązywanym problemem jest zwiększona zachorowalność</w:t>
      </w:r>
      <w:r w:rsidR="0066091B">
        <w:rPr>
          <w:rFonts w:ascii="Times New Roman" w:hAnsi="Times New Roman"/>
          <w:spacing w:val="-2"/>
          <w:sz w:val="20"/>
          <w:szCs w:val="20"/>
        </w:rPr>
        <w:t>,</w:t>
      </w:r>
      <w:r>
        <w:rPr>
          <w:rFonts w:ascii="Times New Roman" w:hAnsi="Times New Roman"/>
          <w:spacing w:val="-2"/>
          <w:sz w:val="20"/>
          <w:szCs w:val="20"/>
        </w:rPr>
        <w:t xml:space="preserve"> to działaniami będą: ew. zatrudnienie dodatkowych pracowników, zakup majątku - urządzeń, przeprowadzenie szczepień, zakup szczepionek itp.)).</w:t>
      </w:r>
    </w:p>
    <w:p w14:paraId="0500E9A5" w14:textId="77777777" w:rsidR="0064074F" w:rsidRPr="00F94ECB" w:rsidRDefault="0064074F" w:rsidP="00300991">
      <w:pPr>
        <w:spacing w:after="120" w:line="240" w:lineRule="auto"/>
        <w:ind w:left="360"/>
        <w:jc w:val="both"/>
        <w:rPr>
          <w:rFonts w:ascii="Times New Roman" w:hAnsi="Times New Roman"/>
          <w:sz w:val="20"/>
          <w:szCs w:val="20"/>
        </w:rPr>
      </w:pPr>
      <w:r>
        <w:rPr>
          <w:rFonts w:ascii="Times New Roman" w:hAnsi="Times New Roman"/>
          <w:sz w:val="20"/>
          <w:szCs w:val="20"/>
        </w:rPr>
        <w:t xml:space="preserve">Jeżeli akt prawny ma charakter przekrojowy i dotyczy wielu zagadnień (np. ustawa deregulująca zawody, </w:t>
      </w:r>
      <w:r w:rsidRPr="00F94ECB">
        <w:rPr>
          <w:rFonts w:ascii="Times New Roman" w:hAnsi="Times New Roman"/>
          <w:sz w:val="20"/>
          <w:szCs w:val="20"/>
        </w:rPr>
        <w:t xml:space="preserve">ustawa o ułatwieniu wykonywania działalności </w:t>
      </w:r>
      <w:r w:rsidRPr="00300991">
        <w:rPr>
          <w:rFonts w:ascii="Times New Roman" w:hAnsi="Times New Roman"/>
          <w:color w:val="000000"/>
          <w:spacing w:val="-2"/>
          <w:sz w:val="20"/>
          <w:szCs w:val="20"/>
        </w:rPr>
        <w:t>gospodarczej</w:t>
      </w:r>
      <w:r w:rsidRPr="00F94ECB">
        <w:rPr>
          <w:rFonts w:ascii="Times New Roman" w:hAnsi="Times New Roman"/>
          <w:sz w:val="20"/>
          <w:szCs w:val="20"/>
        </w:rPr>
        <w:t xml:space="preserve">) proszę </w:t>
      </w:r>
      <w:r w:rsidRPr="00537495">
        <w:rPr>
          <w:rFonts w:ascii="Times New Roman" w:hAnsi="Times New Roman"/>
          <w:sz w:val="20"/>
          <w:szCs w:val="20"/>
        </w:rPr>
        <w:t>opisać planowane wykonani</w:t>
      </w:r>
      <w:r>
        <w:rPr>
          <w:rFonts w:ascii="Times New Roman" w:hAnsi="Times New Roman"/>
          <w:sz w:val="20"/>
          <w:szCs w:val="20"/>
        </w:rPr>
        <w:t>e</w:t>
      </w:r>
      <w:r w:rsidRPr="00537495">
        <w:rPr>
          <w:rFonts w:ascii="Times New Roman" w:hAnsi="Times New Roman"/>
          <w:sz w:val="20"/>
          <w:szCs w:val="20"/>
        </w:rPr>
        <w:t xml:space="preserve"> dla</w:t>
      </w:r>
      <w:r w:rsidRPr="00967A70">
        <w:rPr>
          <w:rFonts w:ascii="Times New Roman" w:hAnsi="Times New Roman"/>
          <w:sz w:val="20"/>
          <w:szCs w:val="20"/>
        </w:rPr>
        <w:t xml:space="preserve"> najważn</w:t>
      </w:r>
      <w:r w:rsidRPr="00F94ECB">
        <w:rPr>
          <w:rFonts w:ascii="Times New Roman" w:hAnsi="Times New Roman"/>
          <w:sz w:val="20"/>
          <w:szCs w:val="20"/>
        </w:rPr>
        <w:t>iejszych zmian</w:t>
      </w:r>
      <w:r>
        <w:rPr>
          <w:rFonts w:ascii="Times New Roman" w:hAnsi="Times New Roman"/>
          <w:sz w:val="20"/>
          <w:szCs w:val="20"/>
        </w:rPr>
        <w:t>.</w:t>
      </w:r>
      <w:r w:rsidRPr="00F94ECB">
        <w:rPr>
          <w:rFonts w:ascii="Times New Roman" w:hAnsi="Times New Roman"/>
          <w:sz w:val="20"/>
          <w:szCs w:val="20"/>
        </w:rPr>
        <w:t xml:space="preserve"> </w:t>
      </w:r>
    </w:p>
    <w:p w14:paraId="62F9A91D" w14:textId="77777777" w:rsidR="000969E7" w:rsidRPr="00300991" w:rsidRDefault="000969E7" w:rsidP="00300991">
      <w:pPr>
        <w:spacing w:after="120" w:line="240" w:lineRule="auto"/>
        <w:ind w:left="360"/>
        <w:jc w:val="both"/>
        <w:rPr>
          <w:rFonts w:ascii="Times New Roman" w:hAnsi="Times New Roman"/>
          <w:sz w:val="20"/>
          <w:szCs w:val="20"/>
        </w:rPr>
      </w:pPr>
      <w:r>
        <w:rPr>
          <w:rFonts w:ascii="Times New Roman" w:hAnsi="Times New Roman"/>
          <w:sz w:val="20"/>
          <w:szCs w:val="20"/>
        </w:rPr>
        <w:t>J</w:t>
      </w:r>
      <w:r w:rsidRPr="009B229A">
        <w:rPr>
          <w:rFonts w:ascii="Times New Roman" w:hAnsi="Times New Roman"/>
          <w:sz w:val="20"/>
          <w:szCs w:val="20"/>
        </w:rPr>
        <w:t xml:space="preserve">eżeli projektowana </w:t>
      </w:r>
      <w:r w:rsidRPr="00300991">
        <w:rPr>
          <w:rFonts w:ascii="Times New Roman" w:hAnsi="Times New Roman"/>
          <w:color w:val="000000"/>
          <w:spacing w:val="-2"/>
          <w:sz w:val="20"/>
          <w:szCs w:val="20"/>
        </w:rPr>
        <w:t>regulacja</w:t>
      </w:r>
      <w:r w:rsidRPr="009B229A">
        <w:rPr>
          <w:rFonts w:ascii="Times New Roman" w:hAnsi="Times New Roman"/>
          <w:sz w:val="20"/>
          <w:szCs w:val="20"/>
        </w:rPr>
        <w:t xml:space="preserve"> oddziałuje na przedsiębiorców (na prowadzenie działalności gospodarczej), </w:t>
      </w:r>
      <w:r>
        <w:rPr>
          <w:rFonts w:ascii="Times New Roman" w:hAnsi="Times New Roman"/>
          <w:sz w:val="20"/>
          <w:szCs w:val="20"/>
        </w:rPr>
        <w:t xml:space="preserve">zgodnie z </w:t>
      </w:r>
      <w:r w:rsidRPr="00C5619C">
        <w:rPr>
          <w:rFonts w:ascii="Times New Roman" w:hAnsi="Times New Roman"/>
          <w:i/>
          <w:sz w:val="20"/>
          <w:szCs w:val="20"/>
        </w:rPr>
        <w:t>Uchwałą Rady Ministrów z dnia 18 lutego 2014 r. w sprawie zaleceń ujednolicenia terminów wejścia w życie niektórych aktów normatywnych</w:t>
      </w:r>
      <w:r>
        <w:rPr>
          <w:rFonts w:ascii="Times New Roman" w:hAnsi="Times New Roman"/>
          <w:sz w:val="20"/>
          <w:szCs w:val="20"/>
        </w:rPr>
        <w:t xml:space="preserve">, </w:t>
      </w:r>
      <w:r w:rsidRPr="009B229A">
        <w:rPr>
          <w:rFonts w:ascii="Times New Roman" w:hAnsi="Times New Roman"/>
          <w:sz w:val="20"/>
          <w:szCs w:val="20"/>
        </w:rPr>
        <w:t xml:space="preserve">terminem wejścia </w:t>
      </w:r>
      <w:r>
        <w:rPr>
          <w:rFonts w:ascii="Times New Roman" w:hAnsi="Times New Roman"/>
          <w:sz w:val="20"/>
          <w:szCs w:val="20"/>
        </w:rPr>
        <w:t xml:space="preserve">w życie </w:t>
      </w:r>
      <w:r w:rsidRPr="009B229A">
        <w:rPr>
          <w:rFonts w:ascii="Times New Roman" w:hAnsi="Times New Roman"/>
          <w:sz w:val="20"/>
          <w:szCs w:val="20"/>
        </w:rPr>
        <w:t>przepisów</w:t>
      </w:r>
      <w:r>
        <w:rPr>
          <w:rFonts w:ascii="Times New Roman" w:hAnsi="Times New Roman"/>
          <w:sz w:val="20"/>
          <w:szCs w:val="20"/>
        </w:rPr>
        <w:t xml:space="preserve">, po minimum 30-dniowym </w:t>
      </w:r>
      <w:r w:rsidRPr="00DA3687">
        <w:rPr>
          <w:rFonts w:ascii="Times New Roman" w:hAnsi="Times New Roman"/>
          <w:i/>
          <w:sz w:val="20"/>
          <w:szCs w:val="20"/>
        </w:rPr>
        <w:t>vacatio legis</w:t>
      </w:r>
      <w:r>
        <w:rPr>
          <w:rFonts w:ascii="Times New Roman" w:hAnsi="Times New Roman"/>
          <w:sz w:val="20"/>
          <w:szCs w:val="20"/>
        </w:rPr>
        <w:t>,</w:t>
      </w:r>
      <w:r w:rsidRPr="009B229A">
        <w:rPr>
          <w:rFonts w:ascii="Times New Roman" w:hAnsi="Times New Roman"/>
          <w:sz w:val="20"/>
          <w:szCs w:val="20"/>
        </w:rPr>
        <w:t xml:space="preserve"> </w:t>
      </w:r>
      <w:r w:rsidR="00300991">
        <w:rPr>
          <w:rFonts w:ascii="Times New Roman" w:hAnsi="Times New Roman"/>
          <w:sz w:val="20"/>
          <w:szCs w:val="20"/>
        </w:rPr>
        <w:t>powinien być 1 </w:t>
      </w:r>
      <w:r>
        <w:rPr>
          <w:rFonts w:ascii="Times New Roman" w:hAnsi="Times New Roman"/>
          <w:sz w:val="20"/>
          <w:szCs w:val="20"/>
        </w:rPr>
        <w:t>stycznia lub 1 czerwca. Jeżeli termin ten nie zostanie zachowany, proszę wskazać powód odstąpienia od wyznaczonych terminów.</w:t>
      </w:r>
    </w:p>
    <w:p w14:paraId="090E79DE" w14:textId="77777777" w:rsidR="00522D94" w:rsidRPr="009D0655" w:rsidRDefault="00522D94" w:rsidP="00522D94">
      <w:pPr>
        <w:numPr>
          <w:ilvl w:val="0"/>
          <w:numId w:val="9"/>
        </w:numPr>
        <w:spacing w:after="120" w:line="240" w:lineRule="auto"/>
        <w:jc w:val="both"/>
        <w:rPr>
          <w:rFonts w:ascii="Times New Roman" w:hAnsi="Times New Roman"/>
          <w:b/>
          <w:sz w:val="20"/>
          <w:szCs w:val="20"/>
        </w:rPr>
      </w:pPr>
      <w:r w:rsidRPr="00522D94">
        <w:rPr>
          <w:rFonts w:ascii="Times New Roman" w:hAnsi="Times New Roman"/>
          <w:b/>
          <w:spacing w:val="-2"/>
          <w:sz w:val="20"/>
          <w:szCs w:val="20"/>
        </w:rPr>
        <w:t xml:space="preserve">W jaki sposób i kiedy nastąpi ewaluacja efektów projektu oraz jakie mierniki zostaną </w:t>
      </w:r>
      <w:r w:rsidR="00C33027" w:rsidRPr="00522D94">
        <w:rPr>
          <w:rFonts w:ascii="Times New Roman" w:hAnsi="Times New Roman"/>
          <w:b/>
          <w:spacing w:val="-2"/>
          <w:sz w:val="20"/>
          <w:szCs w:val="20"/>
        </w:rPr>
        <w:t>zastosowane?</w:t>
      </w:r>
    </w:p>
    <w:p w14:paraId="42F29983" w14:textId="77777777" w:rsidR="006A4904" w:rsidRPr="00F94ECB" w:rsidRDefault="00C33027" w:rsidP="006A4904">
      <w:pPr>
        <w:spacing w:after="120" w:line="240" w:lineRule="auto"/>
        <w:ind w:left="360"/>
        <w:jc w:val="both"/>
        <w:rPr>
          <w:rFonts w:ascii="Times New Roman" w:hAnsi="Times New Roman"/>
          <w:color w:val="000000"/>
          <w:spacing w:val="-2"/>
          <w:sz w:val="20"/>
          <w:szCs w:val="20"/>
        </w:rPr>
      </w:pPr>
      <w:r w:rsidRPr="00F94ECB">
        <w:rPr>
          <w:rFonts w:ascii="Times New Roman" w:hAnsi="Times New Roman"/>
          <w:color w:val="000000"/>
          <w:spacing w:val="-2"/>
          <w:sz w:val="20"/>
          <w:szCs w:val="20"/>
        </w:rPr>
        <w:t>Proszę opisać</w:t>
      </w:r>
      <w:r w:rsidR="006A4904">
        <w:rPr>
          <w:rFonts w:ascii="Times New Roman" w:hAnsi="Times New Roman"/>
          <w:color w:val="000000"/>
          <w:spacing w:val="-2"/>
          <w:sz w:val="20"/>
          <w:szCs w:val="20"/>
        </w:rPr>
        <w:t>,</w:t>
      </w:r>
      <w:r w:rsidR="006A4904" w:rsidRPr="00F94ECB">
        <w:rPr>
          <w:rFonts w:ascii="Times New Roman" w:hAnsi="Times New Roman"/>
          <w:color w:val="000000"/>
          <w:spacing w:val="-2"/>
          <w:sz w:val="20"/>
          <w:szCs w:val="20"/>
        </w:rPr>
        <w:t xml:space="preserve"> kiedy i w jaki sposób będzie mierzone </w:t>
      </w:r>
      <w:r w:rsidRPr="00F94ECB">
        <w:rPr>
          <w:rFonts w:ascii="Times New Roman" w:hAnsi="Times New Roman"/>
          <w:color w:val="000000"/>
          <w:spacing w:val="-2"/>
          <w:sz w:val="20"/>
          <w:szCs w:val="20"/>
        </w:rPr>
        <w:t>osiągnięcie efektu opisanego</w:t>
      </w:r>
      <w:r w:rsidR="006A4904" w:rsidRPr="00F94ECB">
        <w:rPr>
          <w:rFonts w:ascii="Times New Roman" w:hAnsi="Times New Roman"/>
          <w:color w:val="000000"/>
          <w:spacing w:val="-2"/>
          <w:sz w:val="20"/>
          <w:szCs w:val="20"/>
        </w:rPr>
        <w:t xml:space="preserve"> w pkt 2. Po jakim czasie nastąpi przegląd kosztów i korzyści projektowanych oddziaływań. Proszę również wskazać mierniki, które pozwolą określić, czy oczekiwane efekty zostały uzyskane. </w:t>
      </w:r>
    </w:p>
    <w:p w14:paraId="59AF7044" w14:textId="77777777" w:rsidR="006A4904" w:rsidRDefault="006A4904" w:rsidP="006A4904">
      <w:pPr>
        <w:spacing w:after="120" w:line="240" w:lineRule="auto"/>
        <w:ind w:left="360"/>
        <w:jc w:val="both"/>
        <w:rPr>
          <w:rFonts w:ascii="Times New Roman" w:hAnsi="Times New Roman"/>
          <w:color w:val="000000"/>
          <w:spacing w:val="-2"/>
          <w:sz w:val="20"/>
          <w:szCs w:val="20"/>
        </w:rPr>
      </w:pPr>
      <w:r>
        <w:rPr>
          <w:rFonts w:ascii="Times New Roman" w:hAnsi="Times New Roman"/>
          <w:sz w:val="20"/>
          <w:szCs w:val="20"/>
        </w:rPr>
        <w:t>W tym punkcie proszę też podać informację dotyczącą przygotowania oceny funkcjonowania ustawy (OSR ex-post), jeżeli w odniesieniu do projektu ustawy przewiduje się przedstawienie wyników ewaluacji w OSR ex-post.</w:t>
      </w:r>
      <w:r w:rsidRPr="002776ED">
        <w:rPr>
          <w:rFonts w:ascii="Times New Roman" w:hAnsi="Times New Roman"/>
          <w:color w:val="000000"/>
          <w:spacing w:val="-2"/>
          <w:sz w:val="20"/>
          <w:szCs w:val="20"/>
        </w:rPr>
        <w:t xml:space="preserve"> </w:t>
      </w:r>
    </w:p>
    <w:p w14:paraId="73E7DADB" w14:textId="77777777" w:rsidR="006A4904" w:rsidRDefault="006A4904" w:rsidP="006A4904">
      <w:pPr>
        <w:spacing w:after="120"/>
        <w:ind w:left="357"/>
        <w:jc w:val="both"/>
        <w:rPr>
          <w:rFonts w:ascii="Times New Roman" w:hAnsi="Times New Roman"/>
          <w:sz w:val="20"/>
          <w:szCs w:val="20"/>
        </w:rPr>
      </w:pPr>
      <w:r w:rsidRPr="00F94ECB">
        <w:rPr>
          <w:rFonts w:ascii="Times New Roman" w:hAnsi="Times New Roman"/>
          <w:sz w:val="20"/>
          <w:szCs w:val="20"/>
        </w:rPr>
        <w:t>Jeżeli projekt ma charakter przekrojowy i dotyczy wielu zagadnień (np. ustawa deregulująca zawody, ustawa o ułatwieniu wykonywania działalności gospodarczej) proszę opisać sposób przeprowadzania ewaluacji i mierniki dla najważniejszych zmian.</w:t>
      </w:r>
    </w:p>
    <w:p w14:paraId="5130E736" w14:textId="77777777" w:rsidR="006A4904" w:rsidRDefault="006A4904" w:rsidP="006A4904">
      <w:pPr>
        <w:spacing w:after="120" w:line="240" w:lineRule="auto"/>
        <w:ind w:left="360"/>
        <w:jc w:val="both"/>
        <w:rPr>
          <w:rFonts w:ascii="Times New Roman" w:hAnsi="Times New Roman"/>
          <w:color w:val="000000"/>
          <w:spacing w:val="-2"/>
          <w:sz w:val="20"/>
          <w:szCs w:val="20"/>
        </w:rPr>
      </w:pPr>
      <w:r w:rsidRPr="002776ED">
        <w:rPr>
          <w:rFonts w:ascii="Times New Roman" w:hAnsi="Times New Roman"/>
          <w:color w:val="000000"/>
          <w:spacing w:val="-2"/>
          <w:sz w:val="20"/>
          <w:szCs w:val="20"/>
        </w:rPr>
        <w:t xml:space="preserve">Jeśli specyfika danego projektu uniemożliwia zastosowanie mierników lub też niezasadna jest jego ewaluacja (z uwagi na zakres </w:t>
      </w:r>
      <w:r>
        <w:rPr>
          <w:rFonts w:ascii="Times New Roman" w:hAnsi="Times New Roman"/>
          <w:color w:val="000000"/>
          <w:spacing w:val="-2"/>
          <w:sz w:val="20"/>
          <w:szCs w:val="20"/>
        </w:rPr>
        <w:t xml:space="preserve">lub charakter </w:t>
      </w:r>
      <w:r w:rsidRPr="002776ED">
        <w:rPr>
          <w:rFonts w:ascii="Times New Roman" w:hAnsi="Times New Roman"/>
          <w:color w:val="000000"/>
          <w:spacing w:val="-2"/>
          <w:sz w:val="20"/>
          <w:szCs w:val="20"/>
        </w:rPr>
        <w:t xml:space="preserve">projektu) proszę to opisać. </w:t>
      </w:r>
    </w:p>
    <w:p w14:paraId="45FBC1CC" w14:textId="77777777" w:rsidR="00522D94" w:rsidRPr="00522D94" w:rsidRDefault="00522D94" w:rsidP="00522D94">
      <w:pPr>
        <w:numPr>
          <w:ilvl w:val="0"/>
          <w:numId w:val="9"/>
        </w:numPr>
        <w:spacing w:after="120" w:line="240" w:lineRule="auto"/>
        <w:jc w:val="both"/>
        <w:rPr>
          <w:rFonts w:ascii="Times New Roman" w:hAnsi="Times New Roman"/>
          <w:b/>
          <w:sz w:val="20"/>
          <w:szCs w:val="20"/>
        </w:rPr>
      </w:pPr>
      <w:r w:rsidRPr="00522D94">
        <w:rPr>
          <w:rFonts w:ascii="Times New Roman" w:hAnsi="Times New Roman"/>
          <w:b/>
          <w:color w:val="000000"/>
          <w:spacing w:val="-2"/>
          <w:sz w:val="20"/>
          <w:szCs w:val="20"/>
        </w:rPr>
        <w:t xml:space="preserve">Załączniki </w:t>
      </w:r>
      <w:r w:rsidRPr="00522D94">
        <w:rPr>
          <w:rFonts w:ascii="Times New Roman" w:hAnsi="Times New Roman"/>
          <w:b/>
          <w:spacing w:val="-2"/>
          <w:sz w:val="20"/>
          <w:szCs w:val="20"/>
        </w:rPr>
        <w:t>(istotne dokumenty źródłowe, badania, analizy</w:t>
      </w:r>
      <w:r w:rsidR="00B57E5E">
        <w:rPr>
          <w:rFonts w:ascii="Times New Roman" w:hAnsi="Times New Roman"/>
          <w:b/>
          <w:spacing w:val="-2"/>
          <w:sz w:val="20"/>
          <w:szCs w:val="20"/>
        </w:rPr>
        <w:t>,</w:t>
      </w:r>
      <w:r w:rsidRPr="00522D94">
        <w:rPr>
          <w:rFonts w:ascii="Times New Roman" w:hAnsi="Times New Roman"/>
          <w:b/>
          <w:spacing w:val="-2"/>
          <w:sz w:val="20"/>
          <w:szCs w:val="20"/>
        </w:rPr>
        <w:t xml:space="preserve"> </w:t>
      </w:r>
      <w:r w:rsidR="00B57E5E">
        <w:rPr>
          <w:rFonts w:ascii="Times New Roman" w:hAnsi="Times New Roman"/>
          <w:b/>
          <w:spacing w:val="-2"/>
          <w:sz w:val="20"/>
          <w:szCs w:val="20"/>
        </w:rPr>
        <w:t>itp.</w:t>
      </w:r>
      <w:r w:rsidRPr="00522D94">
        <w:rPr>
          <w:rFonts w:ascii="Times New Roman" w:hAnsi="Times New Roman"/>
          <w:b/>
          <w:color w:val="000000"/>
          <w:spacing w:val="-2"/>
          <w:sz w:val="20"/>
          <w:szCs w:val="20"/>
        </w:rPr>
        <w:t>)</w:t>
      </w:r>
    </w:p>
    <w:p w14:paraId="56176FA6" w14:textId="17263DAB" w:rsidR="006176ED" w:rsidRPr="00522D94" w:rsidRDefault="362EB9C2" w:rsidP="00441787">
      <w:pPr>
        <w:spacing w:after="120"/>
        <w:ind w:left="360"/>
        <w:jc w:val="both"/>
        <w:rPr>
          <w:rFonts w:ascii="Times New Roman" w:hAnsi="Times New Roman"/>
          <w:sz w:val="20"/>
          <w:szCs w:val="20"/>
        </w:rPr>
      </w:pPr>
      <w:r w:rsidRPr="4F879303">
        <w:rPr>
          <w:rFonts w:ascii="Times New Roman" w:hAnsi="Times New Roman"/>
          <w:sz w:val="20"/>
          <w:szCs w:val="20"/>
        </w:rPr>
        <w:t>Proszę wymienić dodatkowe dokumenty, które stanowią załączniki do projektu i formularza. Załączanie dodatkowych dokumentów jest opcjonalne.</w:t>
      </w:r>
      <w:r w:rsidR="2CE0E797" w:rsidRPr="4F879303">
        <w:rPr>
          <w:rFonts w:ascii="Times New Roman" w:hAnsi="Times New Roman"/>
          <w:sz w:val="20"/>
          <w:szCs w:val="20"/>
        </w:rPr>
        <w:t xml:space="preserve"> </w:t>
      </w:r>
    </w:p>
    <w:p w14:paraId="649CE4E1" w14:textId="11E7C911" w:rsidR="4F879303" w:rsidRDefault="4F879303" w:rsidP="4F879303">
      <w:pPr>
        <w:spacing w:after="120"/>
        <w:ind w:left="360"/>
        <w:jc w:val="both"/>
        <w:rPr>
          <w:rFonts w:ascii="Times New Roman" w:hAnsi="Times New Roman"/>
          <w:sz w:val="20"/>
          <w:szCs w:val="20"/>
        </w:rPr>
      </w:pPr>
    </w:p>
    <w:p w14:paraId="6CC6343A" w14:textId="02F8CF09" w:rsidR="4F879303" w:rsidRDefault="4F879303" w:rsidP="4F879303">
      <w:pPr>
        <w:spacing w:after="120"/>
        <w:ind w:left="360"/>
        <w:jc w:val="both"/>
        <w:rPr>
          <w:rFonts w:ascii="Times New Roman" w:hAnsi="Times New Roman"/>
          <w:sz w:val="20"/>
          <w:szCs w:val="20"/>
        </w:rPr>
      </w:pPr>
    </w:p>
    <w:p w14:paraId="044E3643" w14:textId="0593C62E" w:rsidR="4F879303" w:rsidRDefault="4F879303" w:rsidP="4F879303">
      <w:pPr>
        <w:spacing w:after="120"/>
        <w:ind w:left="360"/>
        <w:jc w:val="both"/>
        <w:rPr>
          <w:rFonts w:ascii="Times New Roman" w:eastAsia="Times New Roman" w:hAnsi="Times New Roman"/>
          <w:sz w:val="24"/>
          <w:szCs w:val="24"/>
        </w:rPr>
      </w:pPr>
    </w:p>
    <w:sectPr w:rsidR="4F879303" w:rsidSect="0061764D">
      <w:headerReference w:type="default" r:id="rId14"/>
      <w:footerReference w:type="default" r:id="rId15"/>
      <w:pgSz w:w="11906" w:h="16838"/>
      <w:pgMar w:top="720" w:right="720" w:bottom="720" w:left="72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854C5" w14:textId="77777777" w:rsidR="00507AC0" w:rsidRDefault="00507AC0" w:rsidP="00044739">
      <w:pPr>
        <w:spacing w:line="240" w:lineRule="auto"/>
      </w:pPr>
      <w:r>
        <w:separator/>
      </w:r>
    </w:p>
  </w:endnote>
  <w:endnote w:type="continuationSeparator" w:id="0">
    <w:p w14:paraId="636C91B9" w14:textId="77777777" w:rsidR="00507AC0" w:rsidRDefault="00507AC0" w:rsidP="00044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90"/>
      <w:gridCol w:w="3490"/>
      <w:gridCol w:w="3490"/>
    </w:tblGrid>
    <w:tr w:rsidR="005A380C" w14:paraId="236876F6" w14:textId="77777777" w:rsidTr="511D0823">
      <w:trPr>
        <w:trHeight w:val="300"/>
      </w:trPr>
      <w:tc>
        <w:tcPr>
          <w:tcW w:w="3490" w:type="dxa"/>
        </w:tcPr>
        <w:p w14:paraId="267A0EF7" w14:textId="3C7240A4" w:rsidR="005A380C" w:rsidRDefault="005A380C" w:rsidP="511D0823">
          <w:pPr>
            <w:pStyle w:val="Nagwek"/>
            <w:ind w:left="-115"/>
          </w:pPr>
        </w:p>
      </w:tc>
      <w:tc>
        <w:tcPr>
          <w:tcW w:w="3490" w:type="dxa"/>
        </w:tcPr>
        <w:p w14:paraId="0E229DC2" w14:textId="20E132F1" w:rsidR="005A380C" w:rsidRDefault="005A380C" w:rsidP="511D0823">
          <w:pPr>
            <w:pStyle w:val="Nagwek"/>
            <w:jc w:val="center"/>
          </w:pPr>
        </w:p>
      </w:tc>
      <w:tc>
        <w:tcPr>
          <w:tcW w:w="3490" w:type="dxa"/>
        </w:tcPr>
        <w:p w14:paraId="58624A08" w14:textId="66E8903E" w:rsidR="005A380C" w:rsidRDefault="005A380C" w:rsidP="511D0823">
          <w:pPr>
            <w:pStyle w:val="Nagwek"/>
            <w:ind w:right="-115"/>
            <w:jc w:val="right"/>
          </w:pPr>
        </w:p>
      </w:tc>
    </w:tr>
  </w:tbl>
  <w:p w14:paraId="5118D375" w14:textId="03613AB9" w:rsidR="005A380C" w:rsidRDefault="005A380C" w:rsidP="511D08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F2637" w14:textId="77777777" w:rsidR="00507AC0" w:rsidRDefault="00507AC0" w:rsidP="00044739">
      <w:pPr>
        <w:spacing w:line="240" w:lineRule="auto"/>
      </w:pPr>
      <w:r>
        <w:separator/>
      </w:r>
    </w:p>
  </w:footnote>
  <w:footnote w:type="continuationSeparator" w:id="0">
    <w:p w14:paraId="7747E801" w14:textId="77777777" w:rsidR="00507AC0" w:rsidRDefault="00507AC0" w:rsidP="000447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90"/>
      <w:gridCol w:w="3490"/>
      <w:gridCol w:w="3490"/>
    </w:tblGrid>
    <w:tr w:rsidR="005A380C" w14:paraId="0DA14971" w14:textId="77777777" w:rsidTr="511D0823">
      <w:trPr>
        <w:trHeight w:val="300"/>
      </w:trPr>
      <w:tc>
        <w:tcPr>
          <w:tcW w:w="3490" w:type="dxa"/>
        </w:tcPr>
        <w:p w14:paraId="51D395AA" w14:textId="1DD42A04" w:rsidR="005A380C" w:rsidRDefault="005A380C" w:rsidP="511D0823">
          <w:pPr>
            <w:pStyle w:val="Nagwek"/>
            <w:ind w:left="-115"/>
          </w:pPr>
        </w:p>
      </w:tc>
      <w:tc>
        <w:tcPr>
          <w:tcW w:w="3490" w:type="dxa"/>
        </w:tcPr>
        <w:p w14:paraId="04A2E4B0" w14:textId="1CC8BC8C" w:rsidR="005A380C" w:rsidRDefault="005A380C" w:rsidP="511D0823">
          <w:pPr>
            <w:pStyle w:val="Nagwek"/>
            <w:jc w:val="center"/>
          </w:pPr>
        </w:p>
      </w:tc>
      <w:tc>
        <w:tcPr>
          <w:tcW w:w="3490" w:type="dxa"/>
        </w:tcPr>
        <w:p w14:paraId="1CEE6734" w14:textId="3DAF6A38" w:rsidR="005A380C" w:rsidRDefault="005A380C" w:rsidP="511D0823">
          <w:pPr>
            <w:pStyle w:val="Nagwek"/>
            <w:ind w:right="-115"/>
            <w:jc w:val="right"/>
          </w:pPr>
        </w:p>
      </w:tc>
    </w:tr>
  </w:tbl>
  <w:p w14:paraId="1E798792" w14:textId="56117D0F" w:rsidR="005A380C" w:rsidRDefault="005A380C" w:rsidP="511D082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E4F79"/>
    <w:multiLevelType w:val="hybridMultilevel"/>
    <w:tmpl w:val="5E823C9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117C1C"/>
    <w:multiLevelType w:val="multilevel"/>
    <w:tmpl w:val="15AA7E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D9E2B58"/>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292349"/>
    <w:multiLevelType w:val="hybridMultilevel"/>
    <w:tmpl w:val="F1FC0650"/>
    <w:lvl w:ilvl="0" w:tplc="0415000F">
      <w:start w:val="1"/>
      <w:numFmt w:val="decimal"/>
      <w:lvlText w:val="%1."/>
      <w:lvlJc w:val="left"/>
      <w:pPr>
        <w:tabs>
          <w:tab w:val="num" w:pos="1047"/>
        </w:tabs>
        <w:ind w:left="1047" w:hanging="360"/>
      </w:pPr>
    </w:lvl>
    <w:lvl w:ilvl="1" w:tplc="2610BC42">
      <w:start w:val="1"/>
      <w:numFmt w:val="bullet"/>
      <w:lvlText w:val=""/>
      <w:lvlJc w:val="left"/>
      <w:pPr>
        <w:tabs>
          <w:tab w:val="num" w:pos="1767"/>
        </w:tabs>
        <w:ind w:left="1767" w:hanging="360"/>
      </w:pPr>
      <w:rPr>
        <w:rFonts w:ascii="Symbol" w:hAnsi="Symbol" w:hint="default"/>
      </w:r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4" w15:restartNumberingAfterBreak="0">
    <w:nsid w:val="1FA23D91"/>
    <w:multiLevelType w:val="hybridMultilevel"/>
    <w:tmpl w:val="29A04C7E"/>
    <w:lvl w:ilvl="0" w:tplc="A31018B0">
      <w:start w:val="1"/>
      <w:numFmt w:val="decimal"/>
      <w:lvlText w:val="%1."/>
      <w:lvlJc w:val="left"/>
      <w:pPr>
        <w:tabs>
          <w:tab w:val="num" w:pos="357"/>
        </w:tabs>
      </w:pPr>
      <w:rPr>
        <w:rFonts w:cs="Times New Roman" w:hint="default"/>
      </w:rPr>
    </w:lvl>
    <w:lvl w:ilvl="1" w:tplc="4D263FF8">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EE2A02"/>
    <w:multiLevelType w:val="multilevel"/>
    <w:tmpl w:val="3EE2E83E"/>
    <w:lvl w:ilvl="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1CD007E"/>
    <w:multiLevelType w:val="hybridMultilevel"/>
    <w:tmpl w:val="FC0C11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2DF723B"/>
    <w:multiLevelType w:val="multilevel"/>
    <w:tmpl w:val="42ECDCCE"/>
    <w:lvl w:ilvl="0">
      <w:start w:val="1"/>
      <w:numFmt w:val="decimal"/>
      <w:lvlText w:val="%1."/>
      <w:lvlJc w:val="left"/>
      <w:pPr>
        <w:tabs>
          <w:tab w:val="num" w:pos="1047"/>
        </w:tabs>
        <w:ind w:left="1047" w:hanging="360"/>
      </w:pPr>
    </w:lvl>
    <w:lvl w:ilvl="1">
      <w:start w:val="1"/>
      <w:numFmt w:val="decimal"/>
      <w:lvlText w:val="%2."/>
      <w:lvlJc w:val="left"/>
      <w:pPr>
        <w:tabs>
          <w:tab w:val="num" w:pos="1767"/>
        </w:tabs>
        <w:ind w:left="1767" w:hanging="360"/>
      </w:pPr>
    </w:lvl>
    <w:lvl w:ilvl="2">
      <w:start w:val="1"/>
      <w:numFmt w:val="decimal"/>
      <w:lvlText w:val="%3."/>
      <w:lvlJc w:val="left"/>
      <w:pPr>
        <w:tabs>
          <w:tab w:val="num" w:pos="2487"/>
        </w:tabs>
        <w:ind w:left="2487" w:hanging="360"/>
      </w:pPr>
    </w:lvl>
    <w:lvl w:ilvl="3">
      <w:start w:val="1"/>
      <w:numFmt w:val="decimal"/>
      <w:lvlText w:val="%4."/>
      <w:lvlJc w:val="left"/>
      <w:pPr>
        <w:tabs>
          <w:tab w:val="num" w:pos="3207"/>
        </w:tabs>
        <w:ind w:left="3207" w:hanging="360"/>
      </w:pPr>
    </w:lvl>
    <w:lvl w:ilvl="4">
      <w:start w:val="1"/>
      <w:numFmt w:val="decimal"/>
      <w:lvlText w:val="%5."/>
      <w:lvlJc w:val="left"/>
      <w:pPr>
        <w:tabs>
          <w:tab w:val="num" w:pos="3927"/>
        </w:tabs>
        <w:ind w:left="3927" w:hanging="360"/>
      </w:pPr>
    </w:lvl>
    <w:lvl w:ilvl="5">
      <w:start w:val="1"/>
      <w:numFmt w:val="decimal"/>
      <w:lvlText w:val="%6."/>
      <w:lvlJc w:val="left"/>
      <w:pPr>
        <w:tabs>
          <w:tab w:val="num" w:pos="4647"/>
        </w:tabs>
        <w:ind w:left="4647" w:hanging="360"/>
      </w:pPr>
    </w:lvl>
    <w:lvl w:ilvl="6">
      <w:start w:val="1"/>
      <w:numFmt w:val="decimal"/>
      <w:lvlText w:val="%7."/>
      <w:lvlJc w:val="left"/>
      <w:pPr>
        <w:tabs>
          <w:tab w:val="num" w:pos="5367"/>
        </w:tabs>
        <w:ind w:left="5367" w:hanging="360"/>
      </w:pPr>
    </w:lvl>
    <w:lvl w:ilvl="7">
      <w:start w:val="1"/>
      <w:numFmt w:val="decimal"/>
      <w:lvlText w:val="%8."/>
      <w:lvlJc w:val="left"/>
      <w:pPr>
        <w:tabs>
          <w:tab w:val="num" w:pos="6087"/>
        </w:tabs>
        <w:ind w:left="6087" w:hanging="360"/>
      </w:pPr>
    </w:lvl>
    <w:lvl w:ilvl="8">
      <w:start w:val="1"/>
      <w:numFmt w:val="decimal"/>
      <w:lvlText w:val="%9."/>
      <w:lvlJc w:val="left"/>
      <w:pPr>
        <w:tabs>
          <w:tab w:val="num" w:pos="6807"/>
        </w:tabs>
        <w:ind w:left="6807" w:hanging="360"/>
      </w:pPr>
    </w:lvl>
  </w:abstractNum>
  <w:abstractNum w:abstractNumId="8" w15:restartNumberingAfterBreak="0">
    <w:nsid w:val="279D6C8D"/>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7E3332"/>
    <w:multiLevelType w:val="hybridMultilevel"/>
    <w:tmpl w:val="133E6FA8"/>
    <w:lvl w:ilvl="0" w:tplc="7D8AA324">
      <w:start w:val="3"/>
      <w:numFmt w:val="lowerLetter"/>
      <w:lvlText w:val="%1)"/>
      <w:lvlJc w:val="left"/>
      <w:pPr>
        <w:ind w:left="358" w:hanging="360"/>
      </w:pPr>
      <w:rPr>
        <w:rFonts w:hint="default"/>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10" w15:restartNumberingAfterBreak="0">
    <w:nsid w:val="2D0546E1"/>
    <w:multiLevelType w:val="hybridMultilevel"/>
    <w:tmpl w:val="4C2E084A"/>
    <w:lvl w:ilvl="0" w:tplc="46CC5F38">
      <w:start w:val="1"/>
      <w:numFmt w:val="decimal"/>
      <w:lvlText w:val="%1."/>
      <w:lvlJc w:val="left"/>
      <w:pPr>
        <w:ind w:left="358" w:hanging="360"/>
      </w:pPr>
      <w:rPr>
        <w:rFonts w:hint="default"/>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11" w15:restartNumberingAfterBreak="0">
    <w:nsid w:val="35954F50"/>
    <w:multiLevelType w:val="hybridMultilevel"/>
    <w:tmpl w:val="2B6AE7EC"/>
    <w:lvl w:ilvl="0" w:tplc="E94CA936">
      <w:start w:val="1"/>
      <w:numFmt w:val="lowerLetter"/>
      <w:lvlText w:val="%1)"/>
      <w:lvlJc w:val="left"/>
      <w:pPr>
        <w:ind w:left="358" w:hanging="360"/>
      </w:pPr>
      <w:rPr>
        <w:rFonts w:hint="default"/>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12"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8B1EDD"/>
    <w:multiLevelType w:val="hybridMultilevel"/>
    <w:tmpl w:val="95FA285E"/>
    <w:lvl w:ilvl="0" w:tplc="0415000F">
      <w:start w:val="1"/>
      <w:numFmt w:val="decimal"/>
      <w:lvlText w:val="%1."/>
      <w:lvlJc w:val="left"/>
      <w:pPr>
        <w:tabs>
          <w:tab w:val="num" w:pos="1047"/>
        </w:tabs>
        <w:ind w:left="1047" w:hanging="360"/>
      </w:pPr>
    </w:lvl>
    <w:lvl w:ilvl="1" w:tplc="04150019" w:tentative="1">
      <w:start w:val="1"/>
      <w:numFmt w:val="lowerLetter"/>
      <w:lvlText w:val="%2."/>
      <w:lvlJc w:val="left"/>
      <w:pPr>
        <w:tabs>
          <w:tab w:val="num" w:pos="1767"/>
        </w:tabs>
        <w:ind w:left="1767" w:hanging="360"/>
      </w:p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14" w15:restartNumberingAfterBreak="0">
    <w:nsid w:val="3B65511A"/>
    <w:multiLevelType w:val="hybridMultilevel"/>
    <w:tmpl w:val="4CAA9CB6"/>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5" w15:restartNumberingAfterBreak="0">
    <w:nsid w:val="46E5730E"/>
    <w:multiLevelType w:val="hybridMultilevel"/>
    <w:tmpl w:val="3C7829F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9BE361A"/>
    <w:multiLevelType w:val="hybridMultilevel"/>
    <w:tmpl w:val="3AE85FAA"/>
    <w:lvl w:ilvl="0" w:tplc="04150011">
      <w:start w:val="1"/>
      <w:numFmt w:val="decimal"/>
      <w:lvlText w:val="%1)"/>
      <w:lvlJc w:val="left"/>
      <w:pPr>
        <w:tabs>
          <w:tab w:val="num" w:pos="1047"/>
        </w:tabs>
        <w:ind w:left="1047" w:hanging="360"/>
      </w:pPr>
    </w:lvl>
    <w:lvl w:ilvl="1" w:tplc="04150019">
      <w:start w:val="1"/>
      <w:numFmt w:val="decimal"/>
      <w:lvlText w:val="%2."/>
      <w:lvlJc w:val="left"/>
      <w:pPr>
        <w:tabs>
          <w:tab w:val="num" w:pos="1767"/>
        </w:tabs>
        <w:ind w:left="1767" w:hanging="360"/>
      </w:pPr>
    </w:lvl>
    <w:lvl w:ilvl="2" w:tplc="0415001B">
      <w:start w:val="1"/>
      <w:numFmt w:val="decimal"/>
      <w:lvlText w:val="%3."/>
      <w:lvlJc w:val="left"/>
      <w:pPr>
        <w:tabs>
          <w:tab w:val="num" w:pos="2487"/>
        </w:tabs>
        <w:ind w:left="2487" w:hanging="360"/>
      </w:pPr>
    </w:lvl>
    <w:lvl w:ilvl="3" w:tplc="0415000F">
      <w:start w:val="1"/>
      <w:numFmt w:val="decimal"/>
      <w:lvlText w:val="%4."/>
      <w:lvlJc w:val="left"/>
      <w:pPr>
        <w:tabs>
          <w:tab w:val="num" w:pos="3207"/>
        </w:tabs>
        <w:ind w:left="3207" w:hanging="360"/>
      </w:pPr>
    </w:lvl>
    <w:lvl w:ilvl="4" w:tplc="04150019">
      <w:start w:val="1"/>
      <w:numFmt w:val="decimal"/>
      <w:lvlText w:val="%5."/>
      <w:lvlJc w:val="left"/>
      <w:pPr>
        <w:tabs>
          <w:tab w:val="num" w:pos="3927"/>
        </w:tabs>
        <w:ind w:left="3927" w:hanging="360"/>
      </w:pPr>
    </w:lvl>
    <w:lvl w:ilvl="5" w:tplc="0415001B">
      <w:start w:val="1"/>
      <w:numFmt w:val="decimal"/>
      <w:lvlText w:val="%6."/>
      <w:lvlJc w:val="left"/>
      <w:pPr>
        <w:tabs>
          <w:tab w:val="num" w:pos="4647"/>
        </w:tabs>
        <w:ind w:left="4647" w:hanging="360"/>
      </w:pPr>
    </w:lvl>
    <w:lvl w:ilvl="6" w:tplc="0415000F">
      <w:start w:val="1"/>
      <w:numFmt w:val="decimal"/>
      <w:lvlText w:val="%7."/>
      <w:lvlJc w:val="left"/>
      <w:pPr>
        <w:tabs>
          <w:tab w:val="num" w:pos="5367"/>
        </w:tabs>
        <w:ind w:left="5367" w:hanging="360"/>
      </w:pPr>
    </w:lvl>
    <w:lvl w:ilvl="7" w:tplc="04150019">
      <w:start w:val="1"/>
      <w:numFmt w:val="decimal"/>
      <w:lvlText w:val="%8."/>
      <w:lvlJc w:val="left"/>
      <w:pPr>
        <w:tabs>
          <w:tab w:val="num" w:pos="6087"/>
        </w:tabs>
        <w:ind w:left="6087" w:hanging="360"/>
      </w:pPr>
    </w:lvl>
    <w:lvl w:ilvl="8" w:tplc="0415001B">
      <w:start w:val="1"/>
      <w:numFmt w:val="decimal"/>
      <w:lvlText w:val="%9."/>
      <w:lvlJc w:val="left"/>
      <w:pPr>
        <w:tabs>
          <w:tab w:val="num" w:pos="6807"/>
        </w:tabs>
        <w:ind w:left="6807" w:hanging="360"/>
      </w:pPr>
    </w:lvl>
  </w:abstractNum>
  <w:abstractNum w:abstractNumId="17" w15:restartNumberingAfterBreak="0">
    <w:nsid w:val="51461DEA"/>
    <w:multiLevelType w:val="hybridMultilevel"/>
    <w:tmpl w:val="80049DC2"/>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8" w15:restartNumberingAfterBreak="0">
    <w:nsid w:val="59863083"/>
    <w:multiLevelType w:val="hybridMultilevel"/>
    <w:tmpl w:val="B28ADCD0"/>
    <w:lvl w:ilvl="0" w:tplc="69624922">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5DBB20EB"/>
    <w:multiLevelType w:val="hybridMultilevel"/>
    <w:tmpl w:val="10E6B354"/>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0417BAC"/>
    <w:multiLevelType w:val="hybridMultilevel"/>
    <w:tmpl w:val="7ACED012"/>
    <w:lvl w:ilvl="0" w:tplc="69624922">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1" w15:restartNumberingAfterBreak="0">
    <w:nsid w:val="61DD2B62"/>
    <w:multiLevelType w:val="hybridMultilevel"/>
    <w:tmpl w:val="9CBC5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C56F97"/>
    <w:multiLevelType w:val="hybridMultilevel"/>
    <w:tmpl w:val="07FCC908"/>
    <w:lvl w:ilvl="0" w:tplc="04150017">
      <w:start w:val="1"/>
      <w:numFmt w:val="lowerLetter"/>
      <w:lvlText w:val="%1)"/>
      <w:lvlJc w:val="left"/>
      <w:pPr>
        <w:ind w:left="780" w:hanging="360"/>
      </w:p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23" w15:restartNumberingAfterBreak="0">
    <w:nsid w:val="6A6D9DE9"/>
    <w:multiLevelType w:val="hybridMultilevel"/>
    <w:tmpl w:val="E36C3AE4"/>
    <w:lvl w:ilvl="0" w:tplc="BA921E88">
      <w:start w:val="1"/>
      <w:numFmt w:val="decimal"/>
      <w:lvlText w:val="%1."/>
      <w:lvlJc w:val="left"/>
      <w:pPr>
        <w:ind w:left="720" w:hanging="360"/>
      </w:pPr>
    </w:lvl>
    <w:lvl w:ilvl="1" w:tplc="97F8B4EE">
      <w:start w:val="1"/>
      <w:numFmt w:val="lowerLetter"/>
      <w:lvlText w:val="%2."/>
      <w:lvlJc w:val="left"/>
      <w:pPr>
        <w:ind w:left="1440" w:hanging="360"/>
      </w:pPr>
    </w:lvl>
    <w:lvl w:ilvl="2" w:tplc="B220EA2E">
      <w:start w:val="1"/>
      <w:numFmt w:val="lowerRoman"/>
      <w:lvlText w:val="%3."/>
      <w:lvlJc w:val="right"/>
      <w:pPr>
        <w:ind w:left="2160" w:hanging="180"/>
      </w:pPr>
    </w:lvl>
    <w:lvl w:ilvl="3" w:tplc="712AD9D2">
      <w:start w:val="1"/>
      <w:numFmt w:val="decimal"/>
      <w:lvlText w:val="%4."/>
      <w:lvlJc w:val="left"/>
      <w:pPr>
        <w:ind w:left="2880" w:hanging="360"/>
      </w:pPr>
    </w:lvl>
    <w:lvl w:ilvl="4" w:tplc="EA80D258">
      <w:start w:val="1"/>
      <w:numFmt w:val="lowerLetter"/>
      <w:lvlText w:val="%5."/>
      <w:lvlJc w:val="left"/>
      <w:pPr>
        <w:ind w:left="3600" w:hanging="360"/>
      </w:pPr>
    </w:lvl>
    <w:lvl w:ilvl="5" w:tplc="2D00BD3A">
      <w:start w:val="1"/>
      <w:numFmt w:val="lowerRoman"/>
      <w:lvlText w:val="%6."/>
      <w:lvlJc w:val="right"/>
      <w:pPr>
        <w:ind w:left="4320" w:hanging="180"/>
      </w:pPr>
    </w:lvl>
    <w:lvl w:ilvl="6" w:tplc="115EA3D6">
      <w:start w:val="1"/>
      <w:numFmt w:val="decimal"/>
      <w:lvlText w:val="%7."/>
      <w:lvlJc w:val="left"/>
      <w:pPr>
        <w:ind w:left="5040" w:hanging="360"/>
      </w:pPr>
    </w:lvl>
    <w:lvl w:ilvl="7" w:tplc="D4C88B4C">
      <w:start w:val="1"/>
      <w:numFmt w:val="lowerLetter"/>
      <w:lvlText w:val="%8."/>
      <w:lvlJc w:val="left"/>
      <w:pPr>
        <w:ind w:left="5760" w:hanging="360"/>
      </w:pPr>
    </w:lvl>
    <w:lvl w:ilvl="8" w:tplc="4C50EBB4">
      <w:start w:val="1"/>
      <w:numFmt w:val="lowerRoman"/>
      <w:lvlText w:val="%9."/>
      <w:lvlJc w:val="right"/>
      <w:pPr>
        <w:ind w:left="6480" w:hanging="180"/>
      </w:pPr>
    </w:lvl>
  </w:abstractNum>
  <w:abstractNum w:abstractNumId="24" w15:restartNumberingAfterBreak="0">
    <w:nsid w:val="6FFD0546"/>
    <w:multiLevelType w:val="hybridMultilevel"/>
    <w:tmpl w:val="EFCC1B3A"/>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164B50"/>
    <w:multiLevelType w:val="hybridMultilevel"/>
    <w:tmpl w:val="16C045B8"/>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num w:numId="1">
    <w:abstractNumId w:val="23"/>
  </w:num>
  <w:num w:numId="2">
    <w:abstractNumId w:val="4"/>
  </w:num>
  <w:num w:numId="3">
    <w:abstractNumId w:val="0"/>
  </w:num>
  <w:num w:numId="4">
    <w:abstractNumId w:val="12"/>
  </w:num>
  <w:num w:numId="5">
    <w:abstractNumId w:val="21"/>
  </w:num>
  <w:num w:numId="6">
    <w:abstractNumId w:val="2"/>
  </w:num>
  <w:num w:numId="7">
    <w:abstractNumId w:val="8"/>
  </w:num>
  <w:num w:numId="8">
    <w:abstractNumId w:val="15"/>
  </w:num>
  <w:num w:numId="9">
    <w:abstractNumId w:val="5"/>
  </w:num>
  <w:num w:numId="10">
    <w:abstractNumId w:val="17"/>
  </w:num>
  <w:num w:numId="11">
    <w:abstractNumId w:val="14"/>
  </w:num>
  <w:num w:numId="12">
    <w:abstractNumId w:val="16"/>
  </w:num>
  <w:num w:numId="13">
    <w:abstractNumId w:val="3"/>
  </w:num>
  <w:num w:numId="14">
    <w:abstractNumId w:val="13"/>
  </w:num>
  <w:num w:numId="15">
    <w:abstractNumId w:val="22"/>
  </w:num>
  <w:num w:numId="16">
    <w:abstractNumId w:val="18"/>
  </w:num>
  <w:num w:numId="17">
    <w:abstractNumId w:val="20"/>
  </w:num>
  <w:num w:numId="18">
    <w:abstractNumId w:val="6"/>
  </w:num>
  <w:num w:numId="19">
    <w:abstractNumId w:val="24"/>
  </w:num>
  <w:num w:numId="20">
    <w:abstractNumId w:val="25"/>
  </w:num>
  <w:num w:numId="21">
    <w:abstractNumId w:val="19"/>
  </w:num>
  <w:num w:numId="22">
    <w:abstractNumId w:val="7"/>
  </w:num>
  <w:num w:numId="23">
    <w:abstractNumId w:val="1"/>
  </w:num>
  <w:num w:numId="24">
    <w:abstractNumId w:val="11"/>
  </w:num>
  <w:num w:numId="25">
    <w:abstractNumId w:val="1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formatting="1"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6CB"/>
    <w:rsid w:val="000008E5"/>
    <w:rsid w:val="000015EE"/>
    <w:rsid w:val="000022D5"/>
    <w:rsid w:val="00004C6A"/>
    <w:rsid w:val="00012D11"/>
    <w:rsid w:val="00013EB5"/>
    <w:rsid w:val="00023836"/>
    <w:rsid w:val="000356A9"/>
    <w:rsid w:val="00044138"/>
    <w:rsid w:val="00044739"/>
    <w:rsid w:val="00051637"/>
    <w:rsid w:val="00056681"/>
    <w:rsid w:val="000648A7"/>
    <w:rsid w:val="0006618B"/>
    <w:rsid w:val="000670C0"/>
    <w:rsid w:val="00071B99"/>
    <w:rsid w:val="00073F5F"/>
    <w:rsid w:val="000756E5"/>
    <w:rsid w:val="0007704E"/>
    <w:rsid w:val="00080EC8"/>
    <w:rsid w:val="000819C2"/>
    <w:rsid w:val="000944AC"/>
    <w:rsid w:val="00094CB9"/>
    <w:rsid w:val="000956B2"/>
    <w:rsid w:val="000969E7"/>
    <w:rsid w:val="000A23DE"/>
    <w:rsid w:val="000A4020"/>
    <w:rsid w:val="000B54FB"/>
    <w:rsid w:val="000C29B0"/>
    <w:rsid w:val="000C76FC"/>
    <w:rsid w:val="000D38FC"/>
    <w:rsid w:val="000D4D90"/>
    <w:rsid w:val="000E2D10"/>
    <w:rsid w:val="000F3204"/>
    <w:rsid w:val="0010548B"/>
    <w:rsid w:val="001072D1"/>
    <w:rsid w:val="00117017"/>
    <w:rsid w:val="0012525F"/>
    <w:rsid w:val="00130E8E"/>
    <w:rsid w:val="0013216E"/>
    <w:rsid w:val="001401B5"/>
    <w:rsid w:val="001422B9"/>
    <w:rsid w:val="0014665F"/>
    <w:rsid w:val="00153464"/>
    <w:rsid w:val="001541B3"/>
    <w:rsid w:val="00155B15"/>
    <w:rsid w:val="001625BE"/>
    <w:rsid w:val="001643A4"/>
    <w:rsid w:val="001727BB"/>
    <w:rsid w:val="00180D25"/>
    <w:rsid w:val="0018318D"/>
    <w:rsid w:val="0018572C"/>
    <w:rsid w:val="00187E79"/>
    <w:rsid w:val="00187F0D"/>
    <w:rsid w:val="00192CC5"/>
    <w:rsid w:val="001956A7"/>
    <w:rsid w:val="001A118A"/>
    <w:rsid w:val="001A27F4"/>
    <w:rsid w:val="001A2D95"/>
    <w:rsid w:val="001B3460"/>
    <w:rsid w:val="001B4CA1"/>
    <w:rsid w:val="001B75D8"/>
    <w:rsid w:val="001C1060"/>
    <w:rsid w:val="001C3C63"/>
    <w:rsid w:val="001D4732"/>
    <w:rsid w:val="001D6A3C"/>
    <w:rsid w:val="001D6D51"/>
    <w:rsid w:val="001E23B7"/>
    <w:rsid w:val="001F27AE"/>
    <w:rsid w:val="001F653A"/>
    <w:rsid w:val="001F6979"/>
    <w:rsid w:val="00201A38"/>
    <w:rsid w:val="00202BC6"/>
    <w:rsid w:val="00205141"/>
    <w:rsid w:val="0020516B"/>
    <w:rsid w:val="00213559"/>
    <w:rsid w:val="00213EFD"/>
    <w:rsid w:val="002172F1"/>
    <w:rsid w:val="0021795D"/>
    <w:rsid w:val="002230EB"/>
    <w:rsid w:val="00223C7B"/>
    <w:rsid w:val="00224AB1"/>
    <w:rsid w:val="0022687A"/>
    <w:rsid w:val="00230728"/>
    <w:rsid w:val="00234040"/>
    <w:rsid w:val="00235CD2"/>
    <w:rsid w:val="00251F13"/>
    <w:rsid w:val="002523AC"/>
    <w:rsid w:val="00254DED"/>
    <w:rsid w:val="00255619"/>
    <w:rsid w:val="00255DAD"/>
    <w:rsid w:val="00256108"/>
    <w:rsid w:val="00260F33"/>
    <w:rsid w:val="002613BD"/>
    <w:rsid w:val="002624F1"/>
    <w:rsid w:val="00270C81"/>
    <w:rsid w:val="00271558"/>
    <w:rsid w:val="00274862"/>
    <w:rsid w:val="00280760"/>
    <w:rsid w:val="00282D72"/>
    <w:rsid w:val="00283402"/>
    <w:rsid w:val="00290FD6"/>
    <w:rsid w:val="002914AF"/>
    <w:rsid w:val="00294259"/>
    <w:rsid w:val="002A2C81"/>
    <w:rsid w:val="002B3D1A"/>
    <w:rsid w:val="002C27D0"/>
    <w:rsid w:val="002C2C9B"/>
    <w:rsid w:val="002D17D6"/>
    <w:rsid w:val="002D18D7"/>
    <w:rsid w:val="002D21CE"/>
    <w:rsid w:val="002E3DA3"/>
    <w:rsid w:val="002E450F"/>
    <w:rsid w:val="002E6B38"/>
    <w:rsid w:val="002E6D63"/>
    <w:rsid w:val="002E6E2B"/>
    <w:rsid w:val="002F500B"/>
    <w:rsid w:val="002F62F6"/>
    <w:rsid w:val="00300991"/>
    <w:rsid w:val="00301959"/>
    <w:rsid w:val="00305B8A"/>
    <w:rsid w:val="003246E1"/>
    <w:rsid w:val="00331989"/>
    <w:rsid w:val="00331BF9"/>
    <w:rsid w:val="00334223"/>
    <w:rsid w:val="0033495E"/>
    <w:rsid w:val="00334A79"/>
    <w:rsid w:val="00334D8D"/>
    <w:rsid w:val="00337345"/>
    <w:rsid w:val="00337DD2"/>
    <w:rsid w:val="003404D1"/>
    <w:rsid w:val="003443FF"/>
    <w:rsid w:val="00355808"/>
    <w:rsid w:val="00362C7E"/>
    <w:rsid w:val="00363309"/>
    <w:rsid w:val="00363601"/>
    <w:rsid w:val="00376AC9"/>
    <w:rsid w:val="00393032"/>
    <w:rsid w:val="00394B69"/>
    <w:rsid w:val="00397078"/>
    <w:rsid w:val="003A573A"/>
    <w:rsid w:val="003A6953"/>
    <w:rsid w:val="003B6083"/>
    <w:rsid w:val="003C3838"/>
    <w:rsid w:val="003C5847"/>
    <w:rsid w:val="003D0681"/>
    <w:rsid w:val="003D12F6"/>
    <w:rsid w:val="003D1426"/>
    <w:rsid w:val="003E2F4E"/>
    <w:rsid w:val="003E720A"/>
    <w:rsid w:val="003F7DED"/>
    <w:rsid w:val="00403E6E"/>
    <w:rsid w:val="004129B4"/>
    <w:rsid w:val="00413A36"/>
    <w:rsid w:val="00417EF0"/>
    <w:rsid w:val="00422181"/>
    <w:rsid w:val="004244A8"/>
    <w:rsid w:val="00425F72"/>
    <w:rsid w:val="00427736"/>
    <w:rsid w:val="00441787"/>
    <w:rsid w:val="00444F2D"/>
    <w:rsid w:val="00452034"/>
    <w:rsid w:val="00455FA6"/>
    <w:rsid w:val="004641FF"/>
    <w:rsid w:val="00466C70"/>
    <w:rsid w:val="004702C9"/>
    <w:rsid w:val="00470B90"/>
    <w:rsid w:val="00472E45"/>
    <w:rsid w:val="00473FEA"/>
    <w:rsid w:val="0047579D"/>
    <w:rsid w:val="00483262"/>
    <w:rsid w:val="00484107"/>
    <w:rsid w:val="00485CC5"/>
    <w:rsid w:val="0049343F"/>
    <w:rsid w:val="004964FC"/>
    <w:rsid w:val="004A145E"/>
    <w:rsid w:val="004A1F15"/>
    <w:rsid w:val="004A2A81"/>
    <w:rsid w:val="004A7BD7"/>
    <w:rsid w:val="004B71DA"/>
    <w:rsid w:val="004C15C2"/>
    <w:rsid w:val="004C36D8"/>
    <w:rsid w:val="004C6A0C"/>
    <w:rsid w:val="004D1248"/>
    <w:rsid w:val="004D1E3C"/>
    <w:rsid w:val="004D4169"/>
    <w:rsid w:val="004D6E14"/>
    <w:rsid w:val="004F4E17"/>
    <w:rsid w:val="0050082F"/>
    <w:rsid w:val="00500C56"/>
    <w:rsid w:val="00501713"/>
    <w:rsid w:val="00506568"/>
    <w:rsid w:val="00507AC0"/>
    <w:rsid w:val="0051551B"/>
    <w:rsid w:val="00520C57"/>
    <w:rsid w:val="00522D94"/>
    <w:rsid w:val="00533D89"/>
    <w:rsid w:val="00536564"/>
    <w:rsid w:val="00544597"/>
    <w:rsid w:val="00544FFE"/>
    <w:rsid w:val="005473F5"/>
    <w:rsid w:val="005477E7"/>
    <w:rsid w:val="00552794"/>
    <w:rsid w:val="00563199"/>
    <w:rsid w:val="00564874"/>
    <w:rsid w:val="00567963"/>
    <w:rsid w:val="0057009A"/>
    <w:rsid w:val="00571260"/>
    <w:rsid w:val="0057189C"/>
    <w:rsid w:val="00573FC1"/>
    <w:rsid w:val="005741EE"/>
    <w:rsid w:val="0057668E"/>
    <w:rsid w:val="00595E83"/>
    <w:rsid w:val="00596530"/>
    <w:rsid w:val="005967F3"/>
    <w:rsid w:val="005A06DF"/>
    <w:rsid w:val="005A380C"/>
    <w:rsid w:val="005A5527"/>
    <w:rsid w:val="005A5AE6"/>
    <w:rsid w:val="005B1206"/>
    <w:rsid w:val="005B37E8"/>
    <w:rsid w:val="005C0056"/>
    <w:rsid w:val="005D61D6"/>
    <w:rsid w:val="005E0D13"/>
    <w:rsid w:val="005E5047"/>
    <w:rsid w:val="005E7205"/>
    <w:rsid w:val="005E7371"/>
    <w:rsid w:val="005F116C"/>
    <w:rsid w:val="005F2131"/>
    <w:rsid w:val="00601C94"/>
    <w:rsid w:val="00605EF6"/>
    <w:rsid w:val="00606455"/>
    <w:rsid w:val="00614929"/>
    <w:rsid w:val="00616511"/>
    <w:rsid w:val="0061764D"/>
    <w:rsid w:val="006176ED"/>
    <w:rsid w:val="006202F3"/>
    <w:rsid w:val="0062097A"/>
    <w:rsid w:val="00621DA6"/>
    <w:rsid w:val="00623CFE"/>
    <w:rsid w:val="00627221"/>
    <w:rsid w:val="00627EE8"/>
    <w:rsid w:val="006316FA"/>
    <w:rsid w:val="006370D2"/>
    <w:rsid w:val="0064074F"/>
    <w:rsid w:val="00641F55"/>
    <w:rsid w:val="00645E4A"/>
    <w:rsid w:val="00653688"/>
    <w:rsid w:val="0066091B"/>
    <w:rsid w:val="006660E9"/>
    <w:rsid w:val="00667249"/>
    <w:rsid w:val="00667558"/>
    <w:rsid w:val="00671523"/>
    <w:rsid w:val="006754EF"/>
    <w:rsid w:val="00676C8D"/>
    <w:rsid w:val="00676F1F"/>
    <w:rsid w:val="00677381"/>
    <w:rsid w:val="00677414"/>
    <w:rsid w:val="006832CF"/>
    <w:rsid w:val="00685E3B"/>
    <w:rsid w:val="0068601E"/>
    <w:rsid w:val="0069486B"/>
    <w:rsid w:val="006A4904"/>
    <w:rsid w:val="006A548F"/>
    <w:rsid w:val="006A701A"/>
    <w:rsid w:val="006B64DC"/>
    <w:rsid w:val="006B7A91"/>
    <w:rsid w:val="006D46C4"/>
    <w:rsid w:val="006D4704"/>
    <w:rsid w:val="006D6A2D"/>
    <w:rsid w:val="006E1E18"/>
    <w:rsid w:val="006E31CE"/>
    <w:rsid w:val="006E34D3"/>
    <w:rsid w:val="006F1435"/>
    <w:rsid w:val="006F78C4"/>
    <w:rsid w:val="007024B3"/>
    <w:rsid w:val="00702AF0"/>
    <w:rsid w:val="007031A0"/>
    <w:rsid w:val="00705A29"/>
    <w:rsid w:val="00707498"/>
    <w:rsid w:val="00711A65"/>
    <w:rsid w:val="00714133"/>
    <w:rsid w:val="00714DA4"/>
    <w:rsid w:val="007158B2"/>
    <w:rsid w:val="00716081"/>
    <w:rsid w:val="00722B48"/>
    <w:rsid w:val="00724164"/>
    <w:rsid w:val="00725DE7"/>
    <w:rsid w:val="0072636A"/>
    <w:rsid w:val="00726B44"/>
    <w:rsid w:val="007318DD"/>
    <w:rsid w:val="00733167"/>
    <w:rsid w:val="00740D2C"/>
    <w:rsid w:val="00744420"/>
    <w:rsid w:val="00744BF9"/>
    <w:rsid w:val="00752623"/>
    <w:rsid w:val="00760F1F"/>
    <w:rsid w:val="007641F3"/>
    <w:rsid w:val="0076423E"/>
    <w:rsid w:val="007646CB"/>
    <w:rsid w:val="0076658F"/>
    <w:rsid w:val="0077040A"/>
    <w:rsid w:val="00772D64"/>
    <w:rsid w:val="0077437A"/>
    <w:rsid w:val="0078380F"/>
    <w:rsid w:val="00792609"/>
    <w:rsid w:val="00792887"/>
    <w:rsid w:val="007943E2"/>
    <w:rsid w:val="00794F2C"/>
    <w:rsid w:val="00796460"/>
    <w:rsid w:val="007A3BC7"/>
    <w:rsid w:val="007A5AC4"/>
    <w:rsid w:val="007B0FDD"/>
    <w:rsid w:val="007B4802"/>
    <w:rsid w:val="007B6668"/>
    <w:rsid w:val="007B6B33"/>
    <w:rsid w:val="007C122A"/>
    <w:rsid w:val="007C2701"/>
    <w:rsid w:val="007D2192"/>
    <w:rsid w:val="007E14CA"/>
    <w:rsid w:val="007F0021"/>
    <w:rsid w:val="007F2F52"/>
    <w:rsid w:val="00801F71"/>
    <w:rsid w:val="00805F28"/>
    <w:rsid w:val="0080749F"/>
    <w:rsid w:val="00811D46"/>
    <w:rsid w:val="008125B0"/>
    <w:rsid w:val="008144CB"/>
    <w:rsid w:val="00821717"/>
    <w:rsid w:val="00824210"/>
    <w:rsid w:val="008263C0"/>
    <w:rsid w:val="00841422"/>
    <w:rsid w:val="00841D3B"/>
    <w:rsid w:val="0084314C"/>
    <w:rsid w:val="00843171"/>
    <w:rsid w:val="008575C3"/>
    <w:rsid w:val="00863D28"/>
    <w:rsid w:val="008648C3"/>
    <w:rsid w:val="00880F26"/>
    <w:rsid w:val="008934A9"/>
    <w:rsid w:val="00896C2E"/>
    <w:rsid w:val="008A5095"/>
    <w:rsid w:val="008A608F"/>
    <w:rsid w:val="008B1A9A"/>
    <w:rsid w:val="008B4FE6"/>
    <w:rsid w:val="008B6C37"/>
    <w:rsid w:val="008D3AA9"/>
    <w:rsid w:val="008D5EB1"/>
    <w:rsid w:val="008E18F7"/>
    <w:rsid w:val="008E1E10"/>
    <w:rsid w:val="008E291B"/>
    <w:rsid w:val="008E4F2F"/>
    <w:rsid w:val="008E74B0"/>
    <w:rsid w:val="008F65C3"/>
    <w:rsid w:val="008F68F9"/>
    <w:rsid w:val="009008A8"/>
    <w:rsid w:val="009063B0"/>
    <w:rsid w:val="00907106"/>
    <w:rsid w:val="009107FD"/>
    <w:rsid w:val="0091137C"/>
    <w:rsid w:val="00911567"/>
    <w:rsid w:val="00917AAE"/>
    <w:rsid w:val="009251A9"/>
    <w:rsid w:val="00930699"/>
    <w:rsid w:val="00931F69"/>
    <w:rsid w:val="00934123"/>
    <w:rsid w:val="009365D0"/>
    <w:rsid w:val="00955774"/>
    <w:rsid w:val="009560B5"/>
    <w:rsid w:val="009703D6"/>
    <w:rsid w:val="0097181B"/>
    <w:rsid w:val="00976DC5"/>
    <w:rsid w:val="009818C7"/>
    <w:rsid w:val="00982DD4"/>
    <w:rsid w:val="009841E5"/>
    <w:rsid w:val="0098479F"/>
    <w:rsid w:val="00984A8A"/>
    <w:rsid w:val="009857B6"/>
    <w:rsid w:val="00985A8D"/>
    <w:rsid w:val="00986144"/>
    <w:rsid w:val="00986610"/>
    <w:rsid w:val="009877DC"/>
    <w:rsid w:val="00991F96"/>
    <w:rsid w:val="00996F0A"/>
    <w:rsid w:val="009A1D86"/>
    <w:rsid w:val="009B049C"/>
    <w:rsid w:val="009B11C8"/>
    <w:rsid w:val="009B2BCF"/>
    <w:rsid w:val="009B2FF8"/>
    <w:rsid w:val="009B5BA3"/>
    <w:rsid w:val="009D0027"/>
    <w:rsid w:val="009D0655"/>
    <w:rsid w:val="009E1E98"/>
    <w:rsid w:val="009E3ABE"/>
    <w:rsid w:val="009E3C4B"/>
    <w:rsid w:val="009F0637"/>
    <w:rsid w:val="009F62A6"/>
    <w:rsid w:val="009F674F"/>
    <w:rsid w:val="009F799E"/>
    <w:rsid w:val="00A02020"/>
    <w:rsid w:val="00A056CB"/>
    <w:rsid w:val="00A07A29"/>
    <w:rsid w:val="00A10FF1"/>
    <w:rsid w:val="00A1506B"/>
    <w:rsid w:val="00A17CB2"/>
    <w:rsid w:val="00A23191"/>
    <w:rsid w:val="00A319C0"/>
    <w:rsid w:val="00A3257C"/>
    <w:rsid w:val="00A33560"/>
    <w:rsid w:val="00A364E4"/>
    <w:rsid w:val="00A371A5"/>
    <w:rsid w:val="00A47BDF"/>
    <w:rsid w:val="00A51CD7"/>
    <w:rsid w:val="00A52ADB"/>
    <w:rsid w:val="00A533E8"/>
    <w:rsid w:val="00A542D9"/>
    <w:rsid w:val="00A56E64"/>
    <w:rsid w:val="00A624C3"/>
    <w:rsid w:val="00A6641C"/>
    <w:rsid w:val="00A767D2"/>
    <w:rsid w:val="00A77616"/>
    <w:rsid w:val="00A805DA"/>
    <w:rsid w:val="00A811B4"/>
    <w:rsid w:val="00A87CDE"/>
    <w:rsid w:val="00A92BAF"/>
    <w:rsid w:val="00A94737"/>
    <w:rsid w:val="00A94BA3"/>
    <w:rsid w:val="00A96CBA"/>
    <w:rsid w:val="00AB1ACD"/>
    <w:rsid w:val="00AB277F"/>
    <w:rsid w:val="00AB4099"/>
    <w:rsid w:val="00AB449A"/>
    <w:rsid w:val="00AD14F9"/>
    <w:rsid w:val="00AD35D6"/>
    <w:rsid w:val="00AD58C5"/>
    <w:rsid w:val="00AE36C4"/>
    <w:rsid w:val="00AE472C"/>
    <w:rsid w:val="00AE5375"/>
    <w:rsid w:val="00AE6CF8"/>
    <w:rsid w:val="00AF06F0"/>
    <w:rsid w:val="00AF4CAC"/>
    <w:rsid w:val="00B03E0D"/>
    <w:rsid w:val="00B054F8"/>
    <w:rsid w:val="00B2219A"/>
    <w:rsid w:val="00B3581B"/>
    <w:rsid w:val="00B36B81"/>
    <w:rsid w:val="00B36FEE"/>
    <w:rsid w:val="00B37C80"/>
    <w:rsid w:val="00B5092B"/>
    <w:rsid w:val="00B5194E"/>
    <w:rsid w:val="00B51AF5"/>
    <w:rsid w:val="00B531FC"/>
    <w:rsid w:val="00B55347"/>
    <w:rsid w:val="00B57E5E"/>
    <w:rsid w:val="00B61F37"/>
    <w:rsid w:val="00B7770F"/>
    <w:rsid w:val="00B77A89"/>
    <w:rsid w:val="00B77B27"/>
    <w:rsid w:val="00B8134E"/>
    <w:rsid w:val="00B81B55"/>
    <w:rsid w:val="00B84613"/>
    <w:rsid w:val="00B87AF0"/>
    <w:rsid w:val="00B9037B"/>
    <w:rsid w:val="00B910BD"/>
    <w:rsid w:val="00B93834"/>
    <w:rsid w:val="00B96469"/>
    <w:rsid w:val="00BA0DA2"/>
    <w:rsid w:val="00BA2981"/>
    <w:rsid w:val="00BA42EE"/>
    <w:rsid w:val="00BA48F9"/>
    <w:rsid w:val="00BB0DCA"/>
    <w:rsid w:val="00BB2666"/>
    <w:rsid w:val="00BB6B80"/>
    <w:rsid w:val="00BB773C"/>
    <w:rsid w:val="00BC3773"/>
    <w:rsid w:val="00BC381A"/>
    <w:rsid w:val="00BD0962"/>
    <w:rsid w:val="00BD1EED"/>
    <w:rsid w:val="00BF0DA2"/>
    <w:rsid w:val="00BF109C"/>
    <w:rsid w:val="00BF34FA"/>
    <w:rsid w:val="00BF6667"/>
    <w:rsid w:val="00C004B6"/>
    <w:rsid w:val="00C047A7"/>
    <w:rsid w:val="00C05DE5"/>
    <w:rsid w:val="00C33027"/>
    <w:rsid w:val="00C37667"/>
    <w:rsid w:val="00C435DB"/>
    <w:rsid w:val="00C44D73"/>
    <w:rsid w:val="00C50B42"/>
    <w:rsid w:val="00C516FF"/>
    <w:rsid w:val="00C52BFA"/>
    <w:rsid w:val="00C539F4"/>
    <w:rsid w:val="00C53D1D"/>
    <w:rsid w:val="00C53F26"/>
    <w:rsid w:val="00C540BC"/>
    <w:rsid w:val="00C64F7D"/>
    <w:rsid w:val="00C67309"/>
    <w:rsid w:val="00C7614E"/>
    <w:rsid w:val="00C77BF1"/>
    <w:rsid w:val="00C80D60"/>
    <w:rsid w:val="00C82FBD"/>
    <w:rsid w:val="00C85267"/>
    <w:rsid w:val="00C8721B"/>
    <w:rsid w:val="00C90B00"/>
    <w:rsid w:val="00C9372C"/>
    <w:rsid w:val="00C9470E"/>
    <w:rsid w:val="00C95CEB"/>
    <w:rsid w:val="00CA1054"/>
    <w:rsid w:val="00CA63EB"/>
    <w:rsid w:val="00CA69F1"/>
    <w:rsid w:val="00CA7CF2"/>
    <w:rsid w:val="00CB6991"/>
    <w:rsid w:val="00CB7C56"/>
    <w:rsid w:val="00CC3F69"/>
    <w:rsid w:val="00CC493C"/>
    <w:rsid w:val="00CC6194"/>
    <w:rsid w:val="00CC6305"/>
    <w:rsid w:val="00CC78A5"/>
    <w:rsid w:val="00CD0516"/>
    <w:rsid w:val="00CD756B"/>
    <w:rsid w:val="00CE734F"/>
    <w:rsid w:val="00CF112E"/>
    <w:rsid w:val="00CF161D"/>
    <w:rsid w:val="00CF5F4F"/>
    <w:rsid w:val="00D218DC"/>
    <w:rsid w:val="00D24E56"/>
    <w:rsid w:val="00D31643"/>
    <w:rsid w:val="00D31AEB"/>
    <w:rsid w:val="00D32ECD"/>
    <w:rsid w:val="00D361E4"/>
    <w:rsid w:val="00D42A8F"/>
    <w:rsid w:val="00D439F6"/>
    <w:rsid w:val="00D459C6"/>
    <w:rsid w:val="00D50729"/>
    <w:rsid w:val="00D50C19"/>
    <w:rsid w:val="00D5379E"/>
    <w:rsid w:val="00D62643"/>
    <w:rsid w:val="00D64C0F"/>
    <w:rsid w:val="00D72466"/>
    <w:rsid w:val="00D72EFE"/>
    <w:rsid w:val="00D76227"/>
    <w:rsid w:val="00D77DF1"/>
    <w:rsid w:val="00D86AFF"/>
    <w:rsid w:val="00D93C2B"/>
    <w:rsid w:val="00D95A44"/>
    <w:rsid w:val="00D95D16"/>
    <w:rsid w:val="00D97C76"/>
    <w:rsid w:val="00DB02B4"/>
    <w:rsid w:val="00DB538D"/>
    <w:rsid w:val="00DC275C"/>
    <w:rsid w:val="00DC4B0D"/>
    <w:rsid w:val="00DC58FF"/>
    <w:rsid w:val="00DC7FE1"/>
    <w:rsid w:val="00DD3F3F"/>
    <w:rsid w:val="00DD5572"/>
    <w:rsid w:val="00DE5D80"/>
    <w:rsid w:val="00DF58CD"/>
    <w:rsid w:val="00DF65DE"/>
    <w:rsid w:val="00E019A5"/>
    <w:rsid w:val="00E02EC8"/>
    <w:rsid w:val="00E037F5"/>
    <w:rsid w:val="00E04ECB"/>
    <w:rsid w:val="00E05A09"/>
    <w:rsid w:val="00E06CA1"/>
    <w:rsid w:val="00E172B8"/>
    <w:rsid w:val="00E17FB4"/>
    <w:rsid w:val="00E20B75"/>
    <w:rsid w:val="00E214F2"/>
    <w:rsid w:val="00E2371E"/>
    <w:rsid w:val="00E24BD7"/>
    <w:rsid w:val="00E26523"/>
    <w:rsid w:val="00E26809"/>
    <w:rsid w:val="00E26C34"/>
    <w:rsid w:val="00E32623"/>
    <w:rsid w:val="00E3412D"/>
    <w:rsid w:val="00E57322"/>
    <w:rsid w:val="00E628CB"/>
    <w:rsid w:val="00E62AD9"/>
    <w:rsid w:val="00E638C8"/>
    <w:rsid w:val="00E6710E"/>
    <w:rsid w:val="00E72EE0"/>
    <w:rsid w:val="00E7509B"/>
    <w:rsid w:val="00E761A3"/>
    <w:rsid w:val="00E86590"/>
    <w:rsid w:val="00E907FF"/>
    <w:rsid w:val="00EA42D1"/>
    <w:rsid w:val="00EA42EF"/>
    <w:rsid w:val="00EB2DD1"/>
    <w:rsid w:val="00EB6B37"/>
    <w:rsid w:val="00EC29FE"/>
    <w:rsid w:val="00EC3C70"/>
    <w:rsid w:val="00ED3A3D"/>
    <w:rsid w:val="00ED538A"/>
    <w:rsid w:val="00ED6FBC"/>
    <w:rsid w:val="00EE2F16"/>
    <w:rsid w:val="00EE3861"/>
    <w:rsid w:val="00EF2E73"/>
    <w:rsid w:val="00EF7683"/>
    <w:rsid w:val="00EF7A2D"/>
    <w:rsid w:val="00F0101F"/>
    <w:rsid w:val="00F04F8D"/>
    <w:rsid w:val="00F10AD0"/>
    <w:rsid w:val="00F116CC"/>
    <w:rsid w:val="00F12BD1"/>
    <w:rsid w:val="00F14EC4"/>
    <w:rsid w:val="00F15327"/>
    <w:rsid w:val="00F168CF"/>
    <w:rsid w:val="00F2555C"/>
    <w:rsid w:val="00F31DF3"/>
    <w:rsid w:val="00F328BC"/>
    <w:rsid w:val="00F33AE5"/>
    <w:rsid w:val="00F3597D"/>
    <w:rsid w:val="00F40389"/>
    <w:rsid w:val="00F4376D"/>
    <w:rsid w:val="00F45399"/>
    <w:rsid w:val="00F465EA"/>
    <w:rsid w:val="00F54E7B"/>
    <w:rsid w:val="00F55A88"/>
    <w:rsid w:val="00F73287"/>
    <w:rsid w:val="00F74005"/>
    <w:rsid w:val="00F76884"/>
    <w:rsid w:val="00F83D24"/>
    <w:rsid w:val="00F83DD9"/>
    <w:rsid w:val="00F83F40"/>
    <w:rsid w:val="00FA025C"/>
    <w:rsid w:val="00FA117A"/>
    <w:rsid w:val="00FB386A"/>
    <w:rsid w:val="00FC0786"/>
    <w:rsid w:val="00FC49EF"/>
    <w:rsid w:val="00FC7D95"/>
    <w:rsid w:val="00FD071E"/>
    <w:rsid w:val="00FE36E2"/>
    <w:rsid w:val="00FF11AD"/>
    <w:rsid w:val="00FF2971"/>
    <w:rsid w:val="00FF34D4"/>
    <w:rsid w:val="0112AFD1"/>
    <w:rsid w:val="01634589"/>
    <w:rsid w:val="019522A8"/>
    <w:rsid w:val="01A0EC0A"/>
    <w:rsid w:val="0327F43B"/>
    <w:rsid w:val="03D1F44E"/>
    <w:rsid w:val="04A268B5"/>
    <w:rsid w:val="04A8411C"/>
    <w:rsid w:val="04A8F0F3"/>
    <w:rsid w:val="0545836F"/>
    <w:rsid w:val="05CEDDF1"/>
    <w:rsid w:val="05D8DCF1"/>
    <w:rsid w:val="05E0285F"/>
    <w:rsid w:val="065F94FD"/>
    <w:rsid w:val="06733480"/>
    <w:rsid w:val="06CFAE03"/>
    <w:rsid w:val="082626C9"/>
    <w:rsid w:val="08654A66"/>
    <w:rsid w:val="09380601"/>
    <w:rsid w:val="0994DA9C"/>
    <w:rsid w:val="0AB39982"/>
    <w:rsid w:val="0AE13139"/>
    <w:rsid w:val="0B86D966"/>
    <w:rsid w:val="0BDF423F"/>
    <w:rsid w:val="0C4198A5"/>
    <w:rsid w:val="0C6F8940"/>
    <w:rsid w:val="0C7D019A"/>
    <w:rsid w:val="0C8D455D"/>
    <w:rsid w:val="0CB35301"/>
    <w:rsid w:val="0DFC7A73"/>
    <w:rsid w:val="0EB7B699"/>
    <w:rsid w:val="0ECE9404"/>
    <w:rsid w:val="0F6BDF72"/>
    <w:rsid w:val="0FA92240"/>
    <w:rsid w:val="0FFFAE15"/>
    <w:rsid w:val="1109AEA5"/>
    <w:rsid w:val="11860721"/>
    <w:rsid w:val="11A076A4"/>
    <w:rsid w:val="11EF575B"/>
    <w:rsid w:val="1300AC93"/>
    <w:rsid w:val="13750F55"/>
    <w:rsid w:val="1383233D"/>
    <w:rsid w:val="13D84FBC"/>
    <w:rsid w:val="13F50365"/>
    <w:rsid w:val="14750B52"/>
    <w:rsid w:val="159504C7"/>
    <w:rsid w:val="15DD801F"/>
    <w:rsid w:val="160192B3"/>
    <w:rsid w:val="162A4CAE"/>
    <w:rsid w:val="1654D6B0"/>
    <w:rsid w:val="167DE78B"/>
    <w:rsid w:val="171B3E9F"/>
    <w:rsid w:val="179D5F82"/>
    <w:rsid w:val="17ADCF9E"/>
    <w:rsid w:val="180F9B6E"/>
    <w:rsid w:val="18674962"/>
    <w:rsid w:val="18784723"/>
    <w:rsid w:val="18E9C89B"/>
    <w:rsid w:val="1A0E5C33"/>
    <w:rsid w:val="1A6D1258"/>
    <w:rsid w:val="1A782F11"/>
    <w:rsid w:val="1B7A93FB"/>
    <w:rsid w:val="1B8E279A"/>
    <w:rsid w:val="1B8E6CCC"/>
    <w:rsid w:val="1BAFAF01"/>
    <w:rsid w:val="1C0FAAC6"/>
    <w:rsid w:val="1CC6CF28"/>
    <w:rsid w:val="1CD644D5"/>
    <w:rsid w:val="1D00257E"/>
    <w:rsid w:val="1E07D05B"/>
    <w:rsid w:val="1E0B2623"/>
    <w:rsid w:val="1E745FCA"/>
    <w:rsid w:val="1F088096"/>
    <w:rsid w:val="1F3C1BD5"/>
    <w:rsid w:val="1F553394"/>
    <w:rsid w:val="1F9997B4"/>
    <w:rsid w:val="1FFAE415"/>
    <w:rsid w:val="20D0468B"/>
    <w:rsid w:val="20E461D8"/>
    <w:rsid w:val="2116798B"/>
    <w:rsid w:val="2196B476"/>
    <w:rsid w:val="21A9AD5C"/>
    <w:rsid w:val="21BD12A9"/>
    <w:rsid w:val="2273BC97"/>
    <w:rsid w:val="23698CC1"/>
    <w:rsid w:val="24105CC6"/>
    <w:rsid w:val="241EF6BB"/>
    <w:rsid w:val="242C7B42"/>
    <w:rsid w:val="243F89EB"/>
    <w:rsid w:val="24413594"/>
    <w:rsid w:val="244CCCC3"/>
    <w:rsid w:val="258A03E0"/>
    <w:rsid w:val="25A19EBF"/>
    <w:rsid w:val="25B4EF5F"/>
    <w:rsid w:val="25D512D8"/>
    <w:rsid w:val="261FA403"/>
    <w:rsid w:val="2673246E"/>
    <w:rsid w:val="267A6322"/>
    <w:rsid w:val="26CDBBCD"/>
    <w:rsid w:val="26EE0189"/>
    <w:rsid w:val="273D6F20"/>
    <w:rsid w:val="27F944F9"/>
    <w:rsid w:val="2889D1EA"/>
    <w:rsid w:val="28D93F81"/>
    <w:rsid w:val="28DE151E"/>
    <w:rsid w:val="29BC7B27"/>
    <w:rsid w:val="2A1A132A"/>
    <w:rsid w:val="2A40C2E6"/>
    <w:rsid w:val="2A43052F"/>
    <w:rsid w:val="2A750FE2"/>
    <w:rsid w:val="2AC6A8CB"/>
    <w:rsid w:val="2B25B323"/>
    <w:rsid w:val="2B717E2F"/>
    <w:rsid w:val="2BFF08F5"/>
    <w:rsid w:val="2C2A08A0"/>
    <w:rsid w:val="2C910796"/>
    <w:rsid w:val="2CBC0AE6"/>
    <w:rsid w:val="2CCB90DD"/>
    <w:rsid w:val="2CE0E797"/>
    <w:rsid w:val="2CFC1D6D"/>
    <w:rsid w:val="2D887F72"/>
    <w:rsid w:val="2E22C862"/>
    <w:rsid w:val="2FE3A4E0"/>
    <w:rsid w:val="302BD251"/>
    <w:rsid w:val="30B76165"/>
    <w:rsid w:val="30E45166"/>
    <w:rsid w:val="31BEEBFC"/>
    <w:rsid w:val="31D81459"/>
    <w:rsid w:val="31DF6568"/>
    <w:rsid w:val="31E49AFF"/>
    <w:rsid w:val="3274EE5A"/>
    <w:rsid w:val="32E4FEAE"/>
    <w:rsid w:val="331FAF26"/>
    <w:rsid w:val="33227F55"/>
    <w:rsid w:val="33469BBA"/>
    <w:rsid w:val="3355F7AD"/>
    <w:rsid w:val="335ABC5D"/>
    <w:rsid w:val="33C1AF37"/>
    <w:rsid w:val="341BF228"/>
    <w:rsid w:val="3497733C"/>
    <w:rsid w:val="34F68CBE"/>
    <w:rsid w:val="34FF3818"/>
    <w:rsid w:val="3531536B"/>
    <w:rsid w:val="35694B78"/>
    <w:rsid w:val="356A0C0E"/>
    <w:rsid w:val="35ABE083"/>
    <w:rsid w:val="35CD3496"/>
    <w:rsid w:val="362EB9C2"/>
    <w:rsid w:val="365BD095"/>
    <w:rsid w:val="370C12D9"/>
    <w:rsid w:val="3747B0E4"/>
    <w:rsid w:val="375E6FCE"/>
    <w:rsid w:val="376499D0"/>
    <w:rsid w:val="37B86FD1"/>
    <w:rsid w:val="388D988F"/>
    <w:rsid w:val="38CF1F0B"/>
    <w:rsid w:val="38DAC39D"/>
    <w:rsid w:val="38E38145"/>
    <w:rsid w:val="38E6D3CE"/>
    <w:rsid w:val="396E9102"/>
    <w:rsid w:val="39E1AA8F"/>
    <w:rsid w:val="3A43B39B"/>
    <w:rsid w:val="3AF01093"/>
    <w:rsid w:val="3B65CE42"/>
    <w:rsid w:val="3B6D1F51"/>
    <w:rsid w:val="3B6FB41F"/>
    <w:rsid w:val="3C27040D"/>
    <w:rsid w:val="3C2E551C"/>
    <w:rsid w:val="3C8BE0F4"/>
    <w:rsid w:val="3CE13A14"/>
    <w:rsid w:val="3F1724BE"/>
    <w:rsid w:val="3F7416DC"/>
    <w:rsid w:val="3FC381B6"/>
    <w:rsid w:val="41238BDB"/>
    <w:rsid w:val="418F57DF"/>
    <w:rsid w:val="41E1966C"/>
    <w:rsid w:val="4247477A"/>
    <w:rsid w:val="429E3317"/>
    <w:rsid w:val="42C9E619"/>
    <w:rsid w:val="42E87D85"/>
    <w:rsid w:val="44917D47"/>
    <w:rsid w:val="4496F2D9"/>
    <w:rsid w:val="44C1D47A"/>
    <w:rsid w:val="45C3FC8B"/>
    <w:rsid w:val="46A09E3D"/>
    <w:rsid w:val="46ED06A9"/>
    <w:rsid w:val="46F6D750"/>
    <w:rsid w:val="4712C3F6"/>
    <w:rsid w:val="4771A43A"/>
    <w:rsid w:val="478DCD2E"/>
    <w:rsid w:val="482A018C"/>
    <w:rsid w:val="485EB34A"/>
    <w:rsid w:val="486F25C7"/>
    <w:rsid w:val="48A92E31"/>
    <w:rsid w:val="4956D3DA"/>
    <w:rsid w:val="496A63FC"/>
    <w:rsid w:val="49725182"/>
    <w:rsid w:val="4A0AF628"/>
    <w:rsid w:val="4AB145C4"/>
    <w:rsid w:val="4ABB7FD5"/>
    <w:rsid w:val="4AC5E221"/>
    <w:rsid w:val="4AF37537"/>
    <w:rsid w:val="4B8D9E2C"/>
    <w:rsid w:val="4CBBA4B0"/>
    <w:rsid w:val="4CCF200E"/>
    <w:rsid w:val="4CE5CCBD"/>
    <w:rsid w:val="4D3E94FD"/>
    <w:rsid w:val="4DEBC2A2"/>
    <w:rsid w:val="4E180C06"/>
    <w:rsid w:val="4E45C2A5"/>
    <w:rsid w:val="4E5DD04F"/>
    <w:rsid w:val="4F879303"/>
    <w:rsid w:val="4FD67953"/>
    <w:rsid w:val="506ECD92"/>
    <w:rsid w:val="508A0901"/>
    <w:rsid w:val="50F6BD19"/>
    <w:rsid w:val="511D0823"/>
    <w:rsid w:val="514FACC8"/>
    <w:rsid w:val="51726BF5"/>
    <w:rsid w:val="52DFA28A"/>
    <w:rsid w:val="532D4CEA"/>
    <w:rsid w:val="533E87A2"/>
    <w:rsid w:val="534C4FD7"/>
    <w:rsid w:val="538703F1"/>
    <w:rsid w:val="54058E5D"/>
    <w:rsid w:val="54D5E621"/>
    <w:rsid w:val="5538465F"/>
    <w:rsid w:val="5645BAD7"/>
    <w:rsid w:val="56D050D3"/>
    <w:rsid w:val="5754D037"/>
    <w:rsid w:val="5794BD06"/>
    <w:rsid w:val="57EAD832"/>
    <w:rsid w:val="58508B4C"/>
    <w:rsid w:val="586C2134"/>
    <w:rsid w:val="589494D7"/>
    <w:rsid w:val="58F1B2E6"/>
    <w:rsid w:val="597D0B8B"/>
    <w:rsid w:val="59F62BB9"/>
    <w:rsid w:val="5A0AB9A1"/>
    <w:rsid w:val="5B232AFA"/>
    <w:rsid w:val="5BBC4235"/>
    <w:rsid w:val="5BFD5351"/>
    <w:rsid w:val="5C2B95D8"/>
    <w:rsid w:val="5C7C5AAE"/>
    <w:rsid w:val="5D1D989E"/>
    <w:rsid w:val="5DA0225F"/>
    <w:rsid w:val="5DE81B19"/>
    <w:rsid w:val="5E547B71"/>
    <w:rsid w:val="5E706555"/>
    <w:rsid w:val="5F10A5DE"/>
    <w:rsid w:val="601FFF26"/>
    <w:rsid w:val="605B9D31"/>
    <w:rsid w:val="605CC21D"/>
    <w:rsid w:val="61F76D92"/>
    <w:rsid w:val="628303A0"/>
    <w:rsid w:val="628FFAA7"/>
    <w:rsid w:val="631D2F79"/>
    <w:rsid w:val="64A8B7DE"/>
    <w:rsid w:val="64E66B14"/>
    <w:rsid w:val="64F37049"/>
    <w:rsid w:val="6663CC27"/>
    <w:rsid w:val="66DCB603"/>
    <w:rsid w:val="66FBEFA8"/>
    <w:rsid w:val="67C069F9"/>
    <w:rsid w:val="682A0F53"/>
    <w:rsid w:val="683300E0"/>
    <w:rsid w:val="684ECF6F"/>
    <w:rsid w:val="6859864A"/>
    <w:rsid w:val="687FB72A"/>
    <w:rsid w:val="68F1D5BD"/>
    <w:rsid w:val="69479C88"/>
    <w:rsid w:val="6960A581"/>
    <w:rsid w:val="699B6CE9"/>
    <w:rsid w:val="69B8B8F0"/>
    <w:rsid w:val="6A9F83C4"/>
    <w:rsid w:val="6AF3A74D"/>
    <w:rsid w:val="6B35ECC7"/>
    <w:rsid w:val="6B4903F4"/>
    <w:rsid w:val="6BABE5CF"/>
    <w:rsid w:val="6BB77835"/>
    <w:rsid w:val="6C15040D"/>
    <w:rsid w:val="6C4E07AE"/>
    <w:rsid w:val="6C76F230"/>
    <w:rsid w:val="6C974862"/>
    <w:rsid w:val="6D43D610"/>
    <w:rsid w:val="6D8D082F"/>
    <w:rsid w:val="6DBCD9DB"/>
    <w:rsid w:val="6E74E884"/>
    <w:rsid w:val="6F58AA3C"/>
    <w:rsid w:val="6FCFE705"/>
    <w:rsid w:val="70E87530"/>
    <w:rsid w:val="70EDADE7"/>
    <w:rsid w:val="71187AF8"/>
    <w:rsid w:val="71FEC803"/>
    <w:rsid w:val="7241A4B6"/>
    <w:rsid w:val="727B1056"/>
    <w:rsid w:val="72AA95A9"/>
    <w:rsid w:val="7303C1DA"/>
    <w:rsid w:val="730787C7"/>
    <w:rsid w:val="73701AFE"/>
    <w:rsid w:val="7446660A"/>
    <w:rsid w:val="747B7BC6"/>
    <w:rsid w:val="751D10DC"/>
    <w:rsid w:val="7533C7A7"/>
    <w:rsid w:val="75374DE6"/>
    <w:rsid w:val="75B75CD1"/>
    <w:rsid w:val="763139C5"/>
    <w:rsid w:val="76EAA468"/>
    <w:rsid w:val="77AB1051"/>
    <w:rsid w:val="7821DF1E"/>
    <w:rsid w:val="788AF21C"/>
    <w:rsid w:val="793AB055"/>
    <w:rsid w:val="79EC4DDD"/>
    <w:rsid w:val="7A00175B"/>
    <w:rsid w:val="7A26E3F0"/>
    <w:rsid w:val="7A4C8AB4"/>
    <w:rsid w:val="7B1A8732"/>
    <w:rsid w:val="7CA0E586"/>
    <w:rsid w:val="7CAED209"/>
    <w:rsid w:val="7CB291A6"/>
    <w:rsid w:val="7E3B2A30"/>
    <w:rsid w:val="7F1FFBD7"/>
    <w:rsid w:val="7FEA3268"/>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06CA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26C34"/>
    <w:pPr>
      <w:spacing w:line="276" w:lineRule="auto"/>
    </w:pPr>
    <w:rPr>
      <w:sz w:val="22"/>
      <w:szCs w:val="22"/>
      <w:lang w:eastAsia="en-US"/>
    </w:rPr>
  </w:style>
  <w:style w:type="paragraph" w:styleId="Nagwek1">
    <w:name w:val="heading 1"/>
    <w:basedOn w:val="Normalny"/>
    <w:next w:val="Normalny"/>
    <w:qFormat/>
    <w:locked/>
    <w:rsid w:val="006176ED"/>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qFormat/>
    <w:locked/>
    <w:rsid w:val="00522D94"/>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76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4702C9"/>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4702C9"/>
    <w:rPr>
      <w:rFonts w:ascii="Tahoma" w:hAnsi="Tahoma" w:cs="Tahoma"/>
      <w:sz w:val="16"/>
      <w:szCs w:val="16"/>
    </w:rPr>
  </w:style>
  <w:style w:type="paragraph" w:styleId="Nagwek">
    <w:name w:val="header"/>
    <w:basedOn w:val="Normalny"/>
    <w:link w:val="NagwekZnak"/>
    <w:uiPriority w:val="99"/>
    <w:unhideWhenUsed/>
    <w:rsid w:val="00044739"/>
    <w:pPr>
      <w:tabs>
        <w:tab w:val="center" w:pos="4536"/>
        <w:tab w:val="right" w:pos="9072"/>
      </w:tabs>
      <w:spacing w:line="240" w:lineRule="auto"/>
    </w:pPr>
  </w:style>
  <w:style w:type="character" w:customStyle="1" w:styleId="NagwekZnak">
    <w:name w:val="Nagłówek Znak"/>
    <w:link w:val="Nagwek"/>
    <w:uiPriority w:val="99"/>
    <w:rsid w:val="00044739"/>
    <w:rPr>
      <w:lang w:eastAsia="en-US"/>
    </w:rPr>
  </w:style>
  <w:style w:type="paragraph" w:styleId="Stopka">
    <w:name w:val="footer"/>
    <w:basedOn w:val="Normalny"/>
    <w:link w:val="StopkaZnak"/>
    <w:uiPriority w:val="99"/>
    <w:unhideWhenUsed/>
    <w:rsid w:val="00044739"/>
    <w:pPr>
      <w:tabs>
        <w:tab w:val="center" w:pos="4536"/>
        <w:tab w:val="right" w:pos="9072"/>
      </w:tabs>
      <w:spacing w:line="240" w:lineRule="auto"/>
    </w:pPr>
  </w:style>
  <w:style w:type="character" w:customStyle="1" w:styleId="StopkaZnak">
    <w:name w:val="Stopka Znak"/>
    <w:link w:val="Stopka"/>
    <w:uiPriority w:val="99"/>
    <w:rsid w:val="00044739"/>
    <w:rPr>
      <w:lang w:eastAsia="en-US"/>
    </w:rPr>
  </w:style>
  <w:style w:type="paragraph" w:styleId="Tekstprzypisukocowego">
    <w:name w:val="endnote text"/>
    <w:basedOn w:val="Normalny"/>
    <w:link w:val="TekstprzypisukocowegoZnak"/>
    <w:uiPriority w:val="99"/>
    <w:semiHidden/>
    <w:unhideWhenUsed/>
    <w:rsid w:val="00DF58CD"/>
    <w:pPr>
      <w:spacing w:line="240" w:lineRule="auto"/>
    </w:pPr>
    <w:rPr>
      <w:sz w:val="20"/>
      <w:szCs w:val="20"/>
    </w:rPr>
  </w:style>
  <w:style w:type="character" w:customStyle="1" w:styleId="TekstprzypisukocowegoZnak">
    <w:name w:val="Tekst przypisu końcowego Znak"/>
    <w:link w:val="Tekstprzypisukocowego"/>
    <w:uiPriority w:val="99"/>
    <w:semiHidden/>
    <w:rsid w:val="00DF58CD"/>
    <w:rPr>
      <w:sz w:val="20"/>
      <w:szCs w:val="20"/>
      <w:lang w:eastAsia="en-US"/>
    </w:rPr>
  </w:style>
  <w:style w:type="character" w:styleId="Odwoanieprzypisukocowego">
    <w:name w:val="endnote reference"/>
    <w:uiPriority w:val="99"/>
    <w:semiHidden/>
    <w:unhideWhenUsed/>
    <w:rsid w:val="00DF58CD"/>
    <w:rPr>
      <w:vertAlign w:val="superscript"/>
    </w:rPr>
  </w:style>
  <w:style w:type="paragraph" w:styleId="Akapitzlist">
    <w:name w:val="List Paragraph"/>
    <w:basedOn w:val="Normalny"/>
    <w:uiPriority w:val="34"/>
    <w:qFormat/>
    <w:rsid w:val="00397078"/>
    <w:pPr>
      <w:ind w:left="720"/>
      <w:contextualSpacing/>
    </w:pPr>
  </w:style>
  <w:style w:type="character" w:styleId="Odwoaniedokomentarza">
    <w:name w:val="annotation reference"/>
    <w:uiPriority w:val="99"/>
    <w:semiHidden/>
    <w:unhideWhenUsed/>
    <w:rsid w:val="00A17CB2"/>
    <w:rPr>
      <w:sz w:val="16"/>
      <w:szCs w:val="16"/>
    </w:rPr>
  </w:style>
  <w:style w:type="paragraph" w:styleId="Tekstkomentarza">
    <w:name w:val="annotation text"/>
    <w:basedOn w:val="Normalny"/>
    <w:link w:val="TekstkomentarzaZnak"/>
    <w:uiPriority w:val="99"/>
    <w:semiHidden/>
    <w:unhideWhenUsed/>
    <w:rsid w:val="00A17CB2"/>
    <w:rPr>
      <w:sz w:val="20"/>
      <w:szCs w:val="20"/>
    </w:rPr>
  </w:style>
  <w:style w:type="character" w:customStyle="1" w:styleId="TekstkomentarzaZnak">
    <w:name w:val="Tekst komentarza Znak"/>
    <w:link w:val="Tekstkomentarza"/>
    <w:uiPriority w:val="99"/>
    <w:semiHidden/>
    <w:rsid w:val="00A17CB2"/>
    <w:rPr>
      <w:lang w:eastAsia="en-US"/>
    </w:rPr>
  </w:style>
  <w:style w:type="paragraph" w:styleId="Tematkomentarza">
    <w:name w:val="annotation subject"/>
    <w:basedOn w:val="Tekstkomentarza"/>
    <w:next w:val="Tekstkomentarza"/>
    <w:link w:val="TematkomentarzaZnak"/>
    <w:uiPriority w:val="99"/>
    <w:semiHidden/>
    <w:unhideWhenUsed/>
    <w:rsid w:val="00A17CB2"/>
    <w:rPr>
      <w:b/>
      <w:bCs/>
    </w:rPr>
  </w:style>
  <w:style w:type="character" w:customStyle="1" w:styleId="TematkomentarzaZnak">
    <w:name w:val="Temat komentarza Znak"/>
    <w:link w:val="Tematkomentarza"/>
    <w:uiPriority w:val="99"/>
    <w:semiHidden/>
    <w:rsid w:val="00A17CB2"/>
    <w:rPr>
      <w:b/>
      <w:bCs/>
      <w:lang w:eastAsia="en-US"/>
    </w:rPr>
  </w:style>
  <w:style w:type="paragraph" w:styleId="Tekstprzypisudolnego">
    <w:name w:val="footnote text"/>
    <w:basedOn w:val="Normalny"/>
    <w:link w:val="TekstprzypisudolnegoZnak"/>
    <w:uiPriority w:val="99"/>
    <w:semiHidden/>
    <w:unhideWhenUsed/>
    <w:rsid w:val="00C047A7"/>
    <w:rPr>
      <w:sz w:val="20"/>
      <w:szCs w:val="20"/>
    </w:rPr>
  </w:style>
  <w:style w:type="character" w:customStyle="1" w:styleId="TekstprzypisudolnegoZnak">
    <w:name w:val="Tekst przypisu dolnego Znak"/>
    <w:link w:val="Tekstprzypisudolnego"/>
    <w:uiPriority w:val="99"/>
    <w:semiHidden/>
    <w:rsid w:val="00C047A7"/>
    <w:rPr>
      <w:lang w:eastAsia="en-US"/>
    </w:rPr>
  </w:style>
  <w:style w:type="character" w:styleId="Odwoanieprzypisudolnego">
    <w:name w:val="footnote reference"/>
    <w:uiPriority w:val="99"/>
    <w:semiHidden/>
    <w:unhideWhenUsed/>
    <w:rsid w:val="00C047A7"/>
    <w:rPr>
      <w:vertAlign w:val="superscript"/>
    </w:rPr>
  </w:style>
  <w:style w:type="character" w:styleId="Hipercze">
    <w:name w:val="Hyperlink"/>
    <w:uiPriority w:val="99"/>
    <w:unhideWhenUsed/>
    <w:rsid w:val="0072636A"/>
    <w:rPr>
      <w:color w:val="0000FF"/>
      <w:u w:val="single"/>
    </w:rPr>
  </w:style>
  <w:style w:type="character" w:styleId="UyteHipercze">
    <w:name w:val="FollowedHyperlink"/>
    <w:uiPriority w:val="99"/>
    <w:semiHidden/>
    <w:unhideWhenUsed/>
    <w:rsid w:val="00801F71"/>
    <w:rPr>
      <w:color w:val="800080"/>
      <w:u w:val="single"/>
    </w:rPr>
  </w:style>
  <w:style w:type="character" w:styleId="Nierozpoznanawzmianka">
    <w:name w:val="Unresolved Mention"/>
    <w:basedOn w:val="Domylnaczcionkaakapitu"/>
    <w:uiPriority w:val="99"/>
    <w:semiHidden/>
    <w:unhideWhenUsed/>
    <w:rsid w:val="008F65C3"/>
    <w:rPr>
      <w:color w:val="605E5C"/>
      <w:shd w:val="clear" w:color="auto" w:fill="E1DFDD"/>
    </w:rPr>
  </w:style>
  <w:style w:type="paragraph" w:customStyle="1" w:styleId="m-3611805863646572674m-4823748412946949436gwp07f86678gmail-paragraph">
    <w:name w:val="m_-3611805863646572674m-4823748412946949436gwp07f86678gmail-paragraph"/>
    <w:basedOn w:val="Normalny"/>
    <w:rsid w:val="00413A3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m-3611805863646572674m-4823748412946949436gwp07f86678gmail-normaltextrun">
    <w:name w:val="m_-3611805863646572674m-4823748412946949436gwp07f86678gmail-normaltextrun"/>
    <w:basedOn w:val="Domylnaczcionkaakapitu"/>
    <w:rsid w:val="00413A36"/>
  </w:style>
  <w:style w:type="character" w:customStyle="1" w:styleId="m-3611805863646572674m-4823748412946949436size">
    <w:name w:val="m_-3611805863646572674m-4823748412946949436size"/>
    <w:basedOn w:val="Domylnaczcionkaakapitu"/>
    <w:rsid w:val="00413A36"/>
  </w:style>
  <w:style w:type="character" w:customStyle="1" w:styleId="m-3611805863646572674m-4823748412946949436gwp07f86678gmail-findhit">
    <w:name w:val="m_-3611805863646572674m-4823748412946949436gwp07f86678gmail-findhit"/>
    <w:basedOn w:val="Domylnaczcionkaakapitu"/>
    <w:rsid w:val="00413A36"/>
  </w:style>
  <w:style w:type="paragraph" w:styleId="NormalnyWeb">
    <w:name w:val="Normal (Web)"/>
    <w:basedOn w:val="Normalny"/>
    <w:uiPriority w:val="99"/>
    <w:semiHidden/>
    <w:unhideWhenUsed/>
    <w:rsid w:val="00986144"/>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aragraph">
    <w:name w:val="paragraph"/>
    <w:basedOn w:val="Normalny"/>
    <w:rsid w:val="005A380C"/>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basedOn w:val="Domylnaczcionkaakapitu"/>
    <w:rsid w:val="005A380C"/>
  </w:style>
  <w:style w:type="character" w:customStyle="1" w:styleId="eop">
    <w:name w:val="eop"/>
    <w:basedOn w:val="Domylnaczcionkaakapitu"/>
    <w:rsid w:val="005A3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0433">
      <w:bodyDiv w:val="1"/>
      <w:marLeft w:val="0"/>
      <w:marRight w:val="0"/>
      <w:marTop w:val="0"/>
      <w:marBottom w:val="0"/>
      <w:divBdr>
        <w:top w:val="none" w:sz="0" w:space="0" w:color="auto"/>
        <w:left w:val="none" w:sz="0" w:space="0" w:color="auto"/>
        <w:bottom w:val="none" w:sz="0" w:space="0" w:color="auto"/>
        <w:right w:val="none" w:sz="0" w:space="0" w:color="auto"/>
      </w:divBdr>
    </w:div>
    <w:div w:id="20590950">
      <w:bodyDiv w:val="1"/>
      <w:marLeft w:val="0"/>
      <w:marRight w:val="0"/>
      <w:marTop w:val="0"/>
      <w:marBottom w:val="0"/>
      <w:divBdr>
        <w:top w:val="none" w:sz="0" w:space="0" w:color="auto"/>
        <w:left w:val="none" w:sz="0" w:space="0" w:color="auto"/>
        <w:bottom w:val="none" w:sz="0" w:space="0" w:color="auto"/>
        <w:right w:val="none" w:sz="0" w:space="0" w:color="auto"/>
      </w:divBdr>
    </w:div>
    <w:div w:id="58212605">
      <w:bodyDiv w:val="1"/>
      <w:marLeft w:val="0"/>
      <w:marRight w:val="0"/>
      <w:marTop w:val="0"/>
      <w:marBottom w:val="0"/>
      <w:divBdr>
        <w:top w:val="none" w:sz="0" w:space="0" w:color="auto"/>
        <w:left w:val="none" w:sz="0" w:space="0" w:color="auto"/>
        <w:bottom w:val="none" w:sz="0" w:space="0" w:color="auto"/>
        <w:right w:val="none" w:sz="0" w:space="0" w:color="auto"/>
      </w:divBdr>
    </w:div>
    <w:div w:id="104352556">
      <w:bodyDiv w:val="1"/>
      <w:marLeft w:val="0"/>
      <w:marRight w:val="0"/>
      <w:marTop w:val="0"/>
      <w:marBottom w:val="0"/>
      <w:divBdr>
        <w:top w:val="none" w:sz="0" w:space="0" w:color="auto"/>
        <w:left w:val="none" w:sz="0" w:space="0" w:color="auto"/>
        <w:bottom w:val="none" w:sz="0" w:space="0" w:color="auto"/>
        <w:right w:val="none" w:sz="0" w:space="0" w:color="auto"/>
      </w:divBdr>
      <w:divsChild>
        <w:div w:id="257715998">
          <w:marLeft w:val="0"/>
          <w:marRight w:val="0"/>
          <w:marTop w:val="0"/>
          <w:marBottom w:val="0"/>
          <w:divBdr>
            <w:top w:val="none" w:sz="0" w:space="0" w:color="auto"/>
            <w:left w:val="none" w:sz="0" w:space="0" w:color="auto"/>
            <w:bottom w:val="none" w:sz="0" w:space="0" w:color="auto"/>
            <w:right w:val="none" w:sz="0" w:space="0" w:color="auto"/>
          </w:divBdr>
        </w:div>
        <w:div w:id="713382149">
          <w:marLeft w:val="0"/>
          <w:marRight w:val="0"/>
          <w:marTop w:val="0"/>
          <w:marBottom w:val="0"/>
          <w:divBdr>
            <w:top w:val="none" w:sz="0" w:space="0" w:color="auto"/>
            <w:left w:val="none" w:sz="0" w:space="0" w:color="auto"/>
            <w:bottom w:val="none" w:sz="0" w:space="0" w:color="auto"/>
            <w:right w:val="none" w:sz="0" w:space="0" w:color="auto"/>
          </w:divBdr>
        </w:div>
        <w:div w:id="737242546">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087308538">
              <w:marLeft w:val="0"/>
              <w:marRight w:val="0"/>
              <w:marTop w:val="0"/>
              <w:marBottom w:val="0"/>
              <w:divBdr>
                <w:top w:val="none" w:sz="0" w:space="0" w:color="auto"/>
                <w:left w:val="none" w:sz="0" w:space="0" w:color="auto"/>
                <w:bottom w:val="none" w:sz="0" w:space="0" w:color="auto"/>
                <w:right w:val="none" w:sz="0" w:space="0" w:color="auto"/>
              </w:divBdr>
              <w:divsChild>
                <w:div w:id="131872472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7243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46589">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126391686">
              <w:marLeft w:val="0"/>
              <w:marRight w:val="0"/>
              <w:marTop w:val="0"/>
              <w:marBottom w:val="0"/>
              <w:divBdr>
                <w:top w:val="none" w:sz="0" w:space="0" w:color="auto"/>
                <w:left w:val="none" w:sz="0" w:space="0" w:color="auto"/>
                <w:bottom w:val="none" w:sz="0" w:space="0" w:color="auto"/>
                <w:right w:val="none" w:sz="0" w:space="0" w:color="auto"/>
              </w:divBdr>
              <w:divsChild>
                <w:div w:id="104741367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16008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49353">
          <w:marLeft w:val="0"/>
          <w:marRight w:val="0"/>
          <w:marTop w:val="0"/>
          <w:marBottom w:val="0"/>
          <w:divBdr>
            <w:top w:val="none" w:sz="0" w:space="0" w:color="auto"/>
            <w:left w:val="none" w:sz="0" w:space="0" w:color="auto"/>
            <w:bottom w:val="none" w:sz="0" w:space="0" w:color="auto"/>
            <w:right w:val="none" w:sz="0" w:space="0" w:color="auto"/>
          </w:divBdr>
        </w:div>
      </w:divsChild>
    </w:div>
    <w:div w:id="150800809">
      <w:bodyDiv w:val="1"/>
      <w:marLeft w:val="0"/>
      <w:marRight w:val="0"/>
      <w:marTop w:val="0"/>
      <w:marBottom w:val="0"/>
      <w:divBdr>
        <w:top w:val="none" w:sz="0" w:space="0" w:color="auto"/>
        <w:left w:val="none" w:sz="0" w:space="0" w:color="auto"/>
        <w:bottom w:val="none" w:sz="0" w:space="0" w:color="auto"/>
        <w:right w:val="none" w:sz="0" w:space="0" w:color="auto"/>
      </w:divBdr>
    </w:div>
    <w:div w:id="169489055">
      <w:bodyDiv w:val="1"/>
      <w:marLeft w:val="0"/>
      <w:marRight w:val="0"/>
      <w:marTop w:val="0"/>
      <w:marBottom w:val="0"/>
      <w:divBdr>
        <w:top w:val="none" w:sz="0" w:space="0" w:color="auto"/>
        <w:left w:val="none" w:sz="0" w:space="0" w:color="auto"/>
        <w:bottom w:val="none" w:sz="0" w:space="0" w:color="auto"/>
        <w:right w:val="none" w:sz="0" w:space="0" w:color="auto"/>
      </w:divBdr>
      <w:divsChild>
        <w:div w:id="11417926">
          <w:marLeft w:val="0"/>
          <w:marRight w:val="0"/>
          <w:marTop w:val="0"/>
          <w:marBottom w:val="0"/>
          <w:divBdr>
            <w:top w:val="none" w:sz="0" w:space="0" w:color="auto"/>
            <w:left w:val="none" w:sz="0" w:space="0" w:color="auto"/>
            <w:bottom w:val="none" w:sz="0" w:space="0" w:color="auto"/>
            <w:right w:val="none" w:sz="0" w:space="0" w:color="auto"/>
          </w:divBdr>
        </w:div>
        <w:div w:id="114830918">
          <w:marLeft w:val="0"/>
          <w:marRight w:val="0"/>
          <w:marTop w:val="0"/>
          <w:marBottom w:val="0"/>
          <w:divBdr>
            <w:top w:val="none" w:sz="0" w:space="0" w:color="auto"/>
            <w:left w:val="none" w:sz="0" w:space="0" w:color="auto"/>
            <w:bottom w:val="none" w:sz="0" w:space="0" w:color="auto"/>
            <w:right w:val="none" w:sz="0" w:space="0" w:color="auto"/>
          </w:divBdr>
        </w:div>
        <w:div w:id="168057949">
          <w:marLeft w:val="0"/>
          <w:marRight w:val="0"/>
          <w:marTop w:val="0"/>
          <w:marBottom w:val="0"/>
          <w:divBdr>
            <w:top w:val="none" w:sz="0" w:space="0" w:color="auto"/>
            <w:left w:val="none" w:sz="0" w:space="0" w:color="auto"/>
            <w:bottom w:val="none" w:sz="0" w:space="0" w:color="auto"/>
            <w:right w:val="none" w:sz="0" w:space="0" w:color="auto"/>
          </w:divBdr>
        </w:div>
        <w:div w:id="174615142">
          <w:marLeft w:val="0"/>
          <w:marRight w:val="0"/>
          <w:marTop w:val="0"/>
          <w:marBottom w:val="0"/>
          <w:divBdr>
            <w:top w:val="none" w:sz="0" w:space="0" w:color="auto"/>
            <w:left w:val="none" w:sz="0" w:space="0" w:color="auto"/>
            <w:bottom w:val="none" w:sz="0" w:space="0" w:color="auto"/>
            <w:right w:val="none" w:sz="0" w:space="0" w:color="auto"/>
          </w:divBdr>
        </w:div>
        <w:div w:id="308094413">
          <w:marLeft w:val="0"/>
          <w:marRight w:val="0"/>
          <w:marTop w:val="0"/>
          <w:marBottom w:val="0"/>
          <w:divBdr>
            <w:top w:val="none" w:sz="0" w:space="0" w:color="auto"/>
            <w:left w:val="none" w:sz="0" w:space="0" w:color="auto"/>
            <w:bottom w:val="none" w:sz="0" w:space="0" w:color="auto"/>
            <w:right w:val="none" w:sz="0" w:space="0" w:color="auto"/>
          </w:divBdr>
        </w:div>
        <w:div w:id="413169598">
          <w:marLeft w:val="0"/>
          <w:marRight w:val="0"/>
          <w:marTop w:val="0"/>
          <w:marBottom w:val="0"/>
          <w:divBdr>
            <w:top w:val="none" w:sz="0" w:space="0" w:color="auto"/>
            <w:left w:val="none" w:sz="0" w:space="0" w:color="auto"/>
            <w:bottom w:val="none" w:sz="0" w:space="0" w:color="auto"/>
            <w:right w:val="none" w:sz="0" w:space="0" w:color="auto"/>
          </w:divBdr>
        </w:div>
        <w:div w:id="466048438">
          <w:marLeft w:val="0"/>
          <w:marRight w:val="0"/>
          <w:marTop w:val="0"/>
          <w:marBottom w:val="0"/>
          <w:divBdr>
            <w:top w:val="none" w:sz="0" w:space="0" w:color="auto"/>
            <w:left w:val="none" w:sz="0" w:space="0" w:color="auto"/>
            <w:bottom w:val="none" w:sz="0" w:space="0" w:color="auto"/>
            <w:right w:val="none" w:sz="0" w:space="0" w:color="auto"/>
          </w:divBdr>
        </w:div>
        <w:div w:id="586572714">
          <w:marLeft w:val="0"/>
          <w:marRight w:val="0"/>
          <w:marTop w:val="0"/>
          <w:marBottom w:val="0"/>
          <w:divBdr>
            <w:top w:val="none" w:sz="0" w:space="0" w:color="auto"/>
            <w:left w:val="none" w:sz="0" w:space="0" w:color="auto"/>
            <w:bottom w:val="none" w:sz="0" w:space="0" w:color="auto"/>
            <w:right w:val="none" w:sz="0" w:space="0" w:color="auto"/>
          </w:divBdr>
        </w:div>
        <w:div w:id="793405249">
          <w:marLeft w:val="0"/>
          <w:marRight w:val="0"/>
          <w:marTop w:val="0"/>
          <w:marBottom w:val="0"/>
          <w:divBdr>
            <w:top w:val="none" w:sz="0" w:space="0" w:color="auto"/>
            <w:left w:val="none" w:sz="0" w:space="0" w:color="auto"/>
            <w:bottom w:val="none" w:sz="0" w:space="0" w:color="auto"/>
            <w:right w:val="none" w:sz="0" w:space="0" w:color="auto"/>
          </w:divBdr>
        </w:div>
        <w:div w:id="948394825">
          <w:marLeft w:val="0"/>
          <w:marRight w:val="0"/>
          <w:marTop w:val="0"/>
          <w:marBottom w:val="0"/>
          <w:divBdr>
            <w:top w:val="none" w:sz="0" w:space="0" w:color="auto"/>
            <w:left w:val="none" w:sz="0" w:space="0" w:color="auto"/>
            <w:bottom w:val="none" w:sz="0" w:space="0" w:color="auto"/>
            <w:right w:val="none" w:sz="0" w:space="0" w:color="auto"/>
          </w:divBdr>
        </w:div>
        <w:div w:id="988821905">
          <w:marLeft w:val="0"/>
          <w:marRight w:val="0"/>
          <w:marTop w:val="0"/>
          <w:marBottom w:val="0"/>
          <w:divBdr>
            <w:top w:val="none" w:sz="0" w:space="0" w:color="auto"/>
            <w:left w:val="none" w:sz="0" w:space="0" w:color="auto"/>
            <w:bottom w:val="none" w:sz="0" w:space="0" w:color="auto"/>
            <w:right w:val="none" w:sz="0" w:space="0" w:color="auto"/>
          </w:divBdr>
        </w:div>
        <w:div w:id="1030953760">
          <w:marLeft w:val="0"/>
          <w:marRight w:val="0"/>
          <w:marTop w:val="0"/>
          <w:marBottom w:val="0"/>
          <w:divBdr>
            <w:top w:val="none" w:sz="0" w:space="0" w:color="auto"/>
            <w:left w:val="none" w:sz="0" w:space="0" w:color="auto"/>
            <w:bottom w:val="none" w:sz="0" w:space="0" w:color="auto"/>
            <w:right w:val="none" w:sz="0" w:space="0" w:color="auto"/>
          </w:divBdr>
        </w:div>
        <w:div w:id="1064110641">
          <w:marLeft w:val="0"/>
          <w:marRight w:val="0"/>
          <w:marTop w:val="0"/>
          <w:marBottom w:val="0"/>
          <w:divBdr>
            <w:top w:val="none" w:sz="0" w:space="0" w:color="auto"/>
            <w:left w:val="none" w:sz="0" w:space="0" w:color="auto"/>
            <w:bottom w:val="none" w:sz="0" w:space="0" w:color="auto"/>
            <w:right w:val="none" w:sz="0" w:space="0" w:color="auto"/>
          </w:divBdr>
        </w:div>
        <w:div w:id="1073548723">
          <w:marLeft w:val="0"/>
          <w:marRight w:val="0"/>
          <w:marTop w:val="0"/>
          <w:marBottom w:val="0"/>
          <w:divBdr>
            <w:top w:val="none" w:sz="0" w:space="0" w:color="auto"/>
            <w:left w:val="none" w:sz="0" w:space="0" w:color="auto"/>
            <w:bottom w:val="none" w:sz="0" w:space="0" w:color="auto"/>
            <w:right w:val="none" w:sz="0" w:space="0" w:color="auto"/>
          </w:divBdr>
        </w:div>
        <w:div w:id="1330131556">
          <w:marLeft w:val="0"/>
          <w:marRight w:val="0"/>
          <w:marTop w:val="0"/>
          <w:marBottom w:val="0"/>
          <w:divBdr>
            <w:top w:val="none" w:sz="0" w:space="0" w:color="auto"/>
            <w:left w:val="none" w:sz="0" w:space="0" w:color="auto"/>
            <w:bottom w:val="none" w:sz="0" w:space="0" w:color="auto"/>
            <w:right w:val="none" w:sz="0" w:space="0" w:color="auto"/>
          </w:divBdr>
        </w:div>
        <w:div w:id="1336690903">
          <w:marLeft w:val="0"/>
          <w:marRight w:val="0"/>
          <w:marTop w:val="0"/>
          <w:marBottom w:val="0"/>
          <w:divBdr>
            <w:top w:val="none" w:sz="0" w:space="0" w:color="auto"/>
            <w:left w:val="none" w:sz="0" w:space="0" w:color="auto"/>
            <w:bottom w:val="none" w:sz="0" w:space="0" w:color="auto"/>
            <w:right w:val="none" w:sz="0" w:space="0" w:color="auto"/>
          </w:divBdr>
        </w:div>
        <w:div w:id="1418944145">
          <w:marLeft w:val="0"/>
          <w:marRight w:val="0"/>
          <w:marTop w:val="0"/>
          <w:marBottom w:val="0"/>
          <w:divBdr>
            <w:top w:val="none" w:sz="0" w:space="0" w:color="auto"/>
            <w:left w:val="none" w:sz="0" w:space="0" w:color="auto"/>
            <w:bottom w:val="none" w:sz="0" w:space="0" w:color="auto"/>
            <w:right w:val="none" w:sz="0" w:space="0" w:color="auto"/>
          </w:divBdr>
        </w:div>
        <w:div w:id="1445266169">
          <w:marLeft w:val="0"/>
          <w:marRight w:val="0"/>
          <w:marTop w:val="0"/>
          <w:marBottom w:val="0"/>
          <w:divBdr>
            <w:top w:val="none" w:sz="0" w:space="0" w:color="auto"/>
            <w:left w:val="none" w:sz="0" w:space="0" w:color="auto"/>
            <w:bottom w:val="none" w:sz="0" w:space="0" w:color="auto"/>
            <w:right w:val="none" w:sz="0" w:space="0" w:color="auto"/>
          </w:divBdr>
        </w:div>
        <w:div w:id="1605920220">
          <w:marLeft w:val="0"/>
          <w:marRight w:val="0"/>
          <w:marTop w:val="0"/>
          <w:marBottom w:val="0"/>
          <w:divBdr>
            <w:top w:val="none" w:sz="0" w:space="0" w:color="auto"/>
            <w:left w:val="none" w:sz="0" w:space="0" w:color="auto"/>
            <w:bottom w:val="none" w:sz="0" w:space="0" w:color="auto"/>
            <w:right w:val="none" w:sz="0" w:space="0" w:color="auto"/>
          </w:divBdr>
        </w:div>
        <w:div w:id="1916359521">
          <w:marLeft w:val="0"/>
          <w:marRight w:val="0"/>
          <w:marTop w:val="0"/>
          <w:marBottom w:val="0"/>
          <w:divBdr>
            <w:top w:val="none" w:sz="0" w:space="0" w:color="auto"/>
            <w:left w:val="none" w:sz="0" w:space="0" w:color="auto"/>
            <w:bottom w:val="none" w:sz="0" w:space="0" w:color="auto"/>
            <w:right w:val="none" w:sz="0" w:space="0" w:color="auto"/>
          </w:divBdr>
        </w:div>
        <w:div w:id="2140419170">
          <w:marLeft w:val="0"/>
          <w:marRight w:val="0"/>
          <w:marTop w:val="0"/>
          <w:marBottom w:val="0"/>
          <w:divBdr>
            <w:top w:val="none" w:sz="0" w:space="0" w:color="auto"/>
            <w:left w:val="none" w:sz="0" w:space="0" w:color="auto"/>
            <w:bottom w:val="none" w:sz="0" w:space="0" w:color="auto"/>
            <w:right w:val="none" w:sz="0" w:space="0" w:color="auto"/>
          </w:divBdr>
        </w:div>
      </w:divsChild>
    </w:div>
    <w:div w:id="203905230">
      <w:bodyDiv w:val="1"/>
      <w:marLeft w:val="0"/>
      <w:marRight w:val="0"/>
      <w:marTop w:val="0"/>
      <w:marBottom w:val="0"/>
      <w:divBdr>
        <w:top w:val="none" w:sz="0" w:space="0" w:color="auto"/>
        <w:left w:val="none" w:sz="0" w:space="0" w:color="auto"/>
        <w:bottom w:val="none" w:sz="0" w:space="0" w:color="auto"/>
        <w:right w:val="none" w:sz="0" w:space="0" w:color="auto"/>
      </w:divBdr>
    </w:div>
    <w:div w:id="267548819">
      <w:bodyDiv w:val="1"/>
      <w:marLeft w:val="0"/>
      <w:marRight w:val="0"/>
      <w:marTop w:val="0"/>
      <w:marBottom w:val="0"/>
      <w:divBdr>
        <w:top w:val="none" w:sz="0" w:space="0" w:color="auto"/>
        <w:left w:val="none" w:sz="0" w:space="0" w:color="auto"/>
        <w:bottom w:val="none" w:sz="0" w:space="0" w:color="auto"/>
        <w:right w:val="none" w:sz="0" w:space="0" w:color="auto"/>
      </w:divBdr>
      <w:divsChild>
        <w:div w:id="1685398908">
          <w:marLeft w:val="0"/>
          <w:marRight w:val="0"/>
          <w:marTop w:val="0"/>
          <w:marBottom w:val="0"/>
          <w:divBdr>
            <w:top w:val="none" w:sz="0" w:space="0" w:color="auto"/>
            <w:left w:val="none" w:sz="0" w:space="0" w:color="auto"/>
            <w:bottom w:val="none" w:sz="0" w:space="0" w:color="auto"/>
            <w:right w:val="none" w:sz="0" w:space="0" w:color="auto"/>
          </w:divBdr>
        </w:div>
        <w:div w:id="1719162492">
          <w:marLeft w:val="0"/>
          <w:marRight w:val="0"/>
          <w:marTop w:val="0"/>
          <w:marBottom w:val="0"/>
          <w:divBdr>
            <w:top w:val="none" w:sz="0" w:space="0" w:color="auto"/>
            <w:left w:val="none" w:sz="0" w:space="0" w:color="auto"/>
            <w:bottom w:val="none" w:sz="0" w:space="0" w:color="auto"/>
            <w:right w:val="none" w:sz="0" w:space="0" w:color="auto"/>
          </w:divBdr>
        </w:div>
        <w:div w:id="2110810175">
          <w:marLeft w:val="0"/>
          <w:marRight w:val="0"/>
          <w:marTop w:val="0"/>
          <w:marBottom w:val="0"/>
          <w:divBdr>
            <w:top w:val="none" w:sz="0" w:space="0" w:color="auto"/>
            <w:left w:val="none" w:sz="0" w:space="0" w:color="auto"/>
            <w:bottom w:val="none" w:sz="0" w:space="0" w:color="auto"/>
            <w:right w:val="none" w:sz="0" w:space="0" w:color="auto"/>
          </w:divBdr>
        </w:div>
      </w:divsChild>
    </w:div>
    <w:div w:id="389693727">
      <w:bodyDiv w:val="1"/>
      <w:marLeft w:val="0"/>
      <w:marRight w:val="0"/>
      <w:marTop w:val="0"/>
      <w:marBottom w:val="0"/>
      <w:divBdr>
        <w:top w:val="none" w:sz="0" w:space="0" w:color="auto"/>
        <w:left w:val="none" w:sz="0" w:space="0" w:color="auto"/>
        <w:bottom w:val="none" w:sz="0" w:space="0" w:color="auto"/>
        <w:right w:val="none" w:sz="0" w:space="0" w:color="auto"/>
      </w:divBdr>
    </w:div>
    <w:div w:id="557935918">
      <w:bodyDiv w:val="1"/>
      <w:marLeft w:val="0"/>
      <w:marRight w:val="0"/>
      <w:marTop w:val="0"/>
      <w:marBottom w:val="0"/>
      <w:divBdr>
        <w:top w:val="none" w:sz="0" w:space="0" w:color="auto"/>
        <w:left w:val="none" w:sz="0" w:space="0" w:color="auto"/>
        <w:bottom w:val="none" w:sz="0" w:space="0" w:color="auto"/>
        <w:right w:val="none" w:sz="0" w:space="0" w:color="auto"/>
      </w:divBdr>
    </w:div>
    <w:div w:id="589629821">
      <w:bodyDiv w:val="1"/>
      <w:marLeft w:val="0"/>
      <w:marRight w:val="0"/>
      <w:marTop w:val="0"/>
      <w:marBottom w:val="0"/>
      <w:divBdr>
        <w:top w:val="none" w:sz="0" w:space="0" w:color="auto"/>
        <w:left w:val="none" w:sz="0" w:space="0" w:color="auto"/>
        <w:bottom w:val="none" w:sz="0" w:space="0" w:color="auto"/>
        <w:right w:val="none" w:sz="0" w:space="0" w:color="auto"/>
      </w:divBdr>
    </w:div>
    <w:div w:id="650912815">
      <w:bodyDiv w:val="1"/>
      <w:marLeft w:val="0"/>
      <w:marRight w:val="0"/>
      <w:marTop w:val="0"/>
      <w:marBottom w:val="0"/>
      <w:divBdr>
        <w:top w:val="none" w:sz="0" w:space="0" w:color="auto"/>
        <w:left w:val="none" w:sz="0" w:space="0" w:color="auto"/>
        <w:bottom w:val="none" w:sz="0" w:space="0" w:color="auto"/>
        <w:right w:val="none" w:sz="0" w:space="0" w:color="auto"/>
      </w:divBdr>
    </w:div>
    <w:div w:id="686713121">
      <w:bodyDiv w:val="1"/>
      <w:marLeft w:val="0"/>
      <w:marRight w:val="0"/>
      <w:marTop w:val="0"/>
      <w:marBottom w:val="0"/>
      <w:divBdr>
        <w:top w:val="none" w:sz="0" w:space="0" w:color="auto"/>
        <w:left w:val="none" w:sz="0" w:space="0" w:color="auto"/>
        <w:bottom w:val="none" w:sz="0" w:space="0" w:color="auto"/>
        <w:right w:val="none" w:sz="0" w:space="0" w:color="auto"/>
      </w:divBdr>
    </w:div>
    <w:div w:id="721641253">
      <w:bodyDiv w:val="1"/>
      <w:marLeft w:val="0"/>
      <w:marRight w:val="0"/>
      <w:marTop w:val="0"/>
      <w:marBottom w:val="0"/>
      <w:divBdr>
        <w:top w:val="none" w:sz="0" w:space="0" w:color="auto"/>
        <w:left w:val="none" w:sz="0" w:space="0" w:color="auto"/>
        <w:bottom w:val="none" w:sz="0" w:space="0" w:color="auto"/>
        <w:right w:val="none" w:sz="0" w:space="0" w:color="auto"/>
      </w:divBdr>
      <w:divsChild>
        <w:div w:id="58870887">
          <w:marLeft w:val="0"/>
          <w:marRight w:val="0"/>
          <w:marTop w:val="0"/>
          <w:marBottom w:val="0"/>
          <w:divBdr>
            <w:top w:val="none" w:sz="0" w:space="0" w:color="auto"/>
            <w:left w:val="none" w:sz="0" w:space="0" w:color="auto"/>
            <w:bottom w:val="none" w:sz="0" w:space="0" w:color="auto"/>
            <w:right w:val="none" w:sz="0" w:space="0" w:color="auto"/>
          </w:divBdr>
        </w:div>
        <w:div w:id="312028148">
          <w:marLeft w:val="0"/>
          <w:marRight w:val="0"/>
          <w:marTop w:val="0"/>
          <w:marBottom w:val="0"/>
          <w:divBdr>
            <w:top w:val="none" w:sz="0" w:space="0" w:color="auto"/>
            <w:left w:val="none" w:sz="0" w:space="0" w:color="auto"/>
            <w:bottom w:val="none" w:sz="0" w:space="0" w:color="auto"/>
            <w:right w:val="none" w:sz="0" w:space="0" w:color="auto"/>
          </w:divBdr>
        </w:div>
        <w:div w:id="417601746">
          <w:marLeft w:val="0"/>
          <w:marRight w:val="0"/>
          <w:marTop w:val="0"/>
          <w:marBottom w:val="0"/>
          <w:divBdr>
            <w:top w:val="none" w:sz="0" w:space="0" w:color="auto"/>
            <w:left w:val="none" w:sz="0" w:space="0" w:color="auto"/>
            <w:bottom w:val="none" w:sz="0" w:space="0" w:color="auto"/>
            <w:right w:val="none" w:sz="0" w:space="0" w:color="auto"/>
          </w:divBdr>
        </w:div>
        <w:div w:id="421726413">
          <w:marLeft w:val="0"/>
          <w:marRight w:val="0"/>
          <w:marTop w:val="0"/>
          <w:marBottom w:val="0"/>
          <w:divBdr>
            <w:top w:val="none" w:sz="0" w:space="0" w:color="auto"/>
            <w:left w:val="none" w:sz="0" w:space="0" w:color="auto"/>
            <w:bottom w:val="none" w:sz="0" w:space="0" w:color="auto"/>
            <w:right w:val="none" w:sz="0" w:space="0" w:color="auto"/>
          </w:divBdr>
        </w:div>
        <w:div w:id="436566732">
          <w:marLeft w:val="0"/>
          <w:marRight w:val="0"/>
          <w:marTop w:val="0"/>
          <w:marBottom w:val="0"/>
          <w:divBdr>
            <w:top w:val="none" w:sz="0" w:space="0" w:color="auto"/>
            <w:left w:val="none" w:sz="0" w:space="0" w:color="auto"/>
            <w:bottom w:val="none" w:sz="0" w:space="0" w:color="auto"/>
            <w:right w:val="none" w:sz="0" w:space="0" w:color="auto"/>
          </w:divBdr>
        </w:div>
        <w:div w:id="448208442">
          <w:marLeft w:val="0"/>
          <w:marRight w:val="0"/>
          <w:marTop w:val="0"/>
          <w:marBottom w:val="0"/>
          <w:divBdr>
            <w:top w:val="none" w:sz="0" w:space="0" w:color="auto"/>
            <w:left w:val="none" w:sz="0" w:space="0" w:color="auto"/>
            <w:bottom w:val="none" w:sz="0" w:space="0" w:color="auto"/>
            <w:right w:val="none" w:sz="0" w:space="0" w:color="auto"/>
          </w:divBdr>
        </w:div>
        <w:div w:id="453334544">
          <w:marLeft w:val="0"/>
          <w:marRight w:val="0"/>
          <w:marTop w:val="0"/>
          <w:marBottom w:val="0"/>
          <w:divBdr>
            <w:top w:val="none" w:sz="0" w:space="0" w:color="auto"/>
            <w:left w:val="none" w:sz="0" w:space="0" w:color="auto"/>
            <w:bottom w:val="none" w:sz="0" w:space="0" w:color="auto"/>
            <w:right w:val="none" w:sz="0" w:space="0" w:color="auto"/>
          </w:divBdr>
        </w:div>
        <w:div w:id="493761308">
          <w:marLeft w:val="0"/>
          <w:marRight w:val="0"/>
          <w:marTop w:val="0"/>
          <w:marBottom w:val="0"/>
          <w:divBdr>
            <w:top w:val="none" w:sz="0" w:space="0" w:color="auto"/>
            <w:left w:val="none" w:sz="0" w:space="0" w:color="auto"/>
            <w:bottom w:val="none" w:sz="0" w:space="0" w:color="auto"/>
            <w:right w:val="none" w:sz="0" w:space="0" w:color="auto"/>
          </w:divBdr>
        </w:div>
        <w:div w:id="602108989">
          <w:marLeft w:val="0"/>
          <w:marRight w:val="0"/>
          <w:marTop w:val="0"/>
          <w:marBottom w:val="0"/>
          <w:divBdr>
            <w:top w:val="none" w:sz="0" w:space="0" w:color="auto"/>
            <w:left w:val="none" w:sz="0" w:space="0" w:color="auto"/>
            <w:bottom w:val="none" w:sz="0" w:space="0" w:color="auto"/>
            <w:right w:val="none" w:sz="0" w:space="0" w:color="auto"/>
          </w:divBdr>
        </w:div>
        <w:div w:id="602304914">
          <w:marLeft w:val="0"/>
          <w:marRight w:val="0"/>
          <w:marTop w:val="0"/>
          <w:marBottom w:val="0"/>
          <w:divBdr>
            <w:top w:val="none" w:sz="0" w:space="0" w:color="auto"/>
            <w:left w:val="none" w:sz="0" w:space="0" w:color="auto"/>
            <w:bottom w:val="none" w:sz="0" w:space="0" w:color="auto"/>
            <w:right w:val="none" w:sz="0" w:space="0" w:color="auto"/>
          </w:divBdr>
        </w:div>
        <w:div w:id="682829631">
          <w:marLeft w:val="0"/>
          <w:marRight w:val="0"/>
          <w:marTop w:val="0"/>
          <w:marBottom w:val="0"/>
          <w:divBdr>
            <w:top w:val="none" w:sz="0" w:space="0" w:color="auto"/>
            <w:left w:val="none" w:sz="0" w:space="0" w:color="auto"/>
            <w:bottom w:val="none" w:sz="0" w:space="0" w:color="auto"/>
            <w:right w:val="none" w:sz="0" w:space="0" w:color="auto"/>
          </w:divBdr>
        </w:div>
        <w:div w:id="874804746">
          <w:marLeft w:val="0"/>
          <w:marRight w:val="0"/>
          <w:marTop w:val="0"/>
          <w:marBottom w:val="0"/>
          <w:divBdr>
            <w:top w:val="none" w:sz="0" w:space="0" w:color="auto"/>
            <w:left w:val="none" w:sz="0" w:space="0" w:color="auto"/>
            <w:bottom w:val="none" w:sz="0" w:space="0" w:color="auto"/>
            <w:right w:val="none" w:sz="0" w:space="0" w:color="auto"/>
          </w:divBdr>
        </w:div>
        <w:div w:id="910385587">
          <w:marLeft w:val="0"/>
          <w:marRight w:val="0"/>
          <w:marTop w:val="0"/>
          <w:marBottom w:val="0"/>
          <w:divBdr>
            <w:top w:val="none" w:sz="0" w:space="0" w:color="auto"/>
            <w:left w:val="none" w:sz="0" w:space="0" w:color="auto"/>
            <w:bottom w:val="none" w:sz="0" w:space="0" w:color="auto"/>
            <w:right w:val="none" w:sz="0" w:space="0" w:color="auto"/>
          </w:divBdr>
        </w:div>
        <w:div w:id="1006592781">
          <w:marLeft w:val="0"/>
          <w:marRight w:val="0"/>
          <w:marTop w:val="0"/>
          <w:marBottom w:val="0"/>
          <w:divBdr>
            <w:top w:val="none" w:sz="0" w:space="0" w:color="auto"/>
            <w:left w:val="none" w:sz="0" w:space="0" w:color="auto"/>
            <w:bottom w:val="none" w:sz="0" w:space="0" w:color="auto"/>
            <w:right w:val="none" w:sz="0" w:space="0" w:color="auto"/>
          </w:divBdr>
        </w:div>
        <w:div w:id="1186946304">
          <w:marLeft w:val="0"/>
          <w:marRight w:val="0"/>
          <w:marTop w:val="0"/>
          <w:marBottom w:val="0"/>
          <w:divBdr>
            <w:top w:val="none" w:sz="0" w:space="0" w:color="auto"/>
            <w:left w:val="none" w:sz="0" w:space="0" w:color="auto"/>
            <w:bottom w:val="none" w:sz="0" w:space="0" w:color="auto"/>
            <w:right w:val="none" w:sz="0" w:space="0" w:color="auto"/>
          </w:divBdr>
        </w:div>
        <w:div w:id="1238519884">
          <w:marLeft w:val="0"/>
          <w:marRight w:val="0"/>
          <w:marTop w:val="0"/>
          <w:marBottom w:val="0"/>
          <w:divBdr>
            <w:top w:val="none" w:sz="0" w:space="0" w:color="auto"/>
            <w:left w:val="none" w:sz="0" w:space="0" w:color="auto"/>
            <w:bottom w:val="none" w:sz="0" w:space="0" w:color="auto"/>
            <w:right w:val="none" w:sz="0" w:space="0" w:color="auto"/>
          </w:divBdr>
        </w:div>
        <w:div w:id="1286110201">
          <w:marLeft w:val="0"/>
          <w:marRight w:val="0"/>
          <w:marTop w:val="0"/>
          <w:marBottom w:val="0"/>
          <w:divBdr>
            <w:top w:val="none" w:sz="0" w:space="0" w:color="auto"/>
            <w:left w:val="none" w:sz="0" w:space="0" w:color="auto"/>
            <w:bottom w:val="none" w:sz="0" w:space="0" w:color="auto"/>
            <w:right w:val="none" w:sz="0" w:space="0" w:color="auto"/>
          </w:divBdr>
        </w:div>
        <w:div w:id="1435127088">
          <w:marLeft w:val="0"/>
          <w:marRight w:val="0"/>
          <w:marTop w:val="0"/>
          <w:marBottom w:val="0"/>
          <w:divBdr>
            <w:top w:val="none" w:sz="0" w:space="0" w:color="auto"/>
            <w:left w:val="none" w:sz="0" w:space="0" w:color="auto"/>
            <w:bottom w:val="none" w:sz="0" w:space="0" w:color="auto"/>
            <w:right w:val="none" w:sz="0" w:space="0" w:color="auto"/>
          </w:divBdr>
        </w:div>
        <w:div w:id="2071994654">
          <w:marLeft w:val="0"/>
          <w:marRight w:val="0"/>
          <w:marTop w:val="0"/>
          <w:marBottom w:val="0"/>
          <w:divBdr>
            <w:top w:val="none" w:sz="0" w:space="0" w:color="auto"/>
            <w:left w:val="none" w:sz="0" w:space="0" w:color="auto"/>
            <w:bottom w:val="none" w:sz="0" w:space="0" w:color="auto"/>
            <w:right w:val="none" w:sz="0" w:space="0" w:color="auto"/>
          </w:divBdr>
        </w:div>
        <w:div w:id="2095661491">
          <w:marLeft w:val="0"/>
          <w:marRight w:val="0"/>
          <w:marTop w:val="0"/>
          <w:marBottom w:val="0"/>
          <w:divBdr>
            <w:top w:val="none" w:sz="0" w:space="0" w:color="auto"/>
            <w:left w:val="none" w:sz="0" w:space="0" w:color="auto"/>
            <w:bottom w:val="none" w:sz="0" w:space="0" w:color="auto"/>
            <w:right w:val="none" w:sz="0" w:space="0" w:color="auto"/>
          </w:divBdr>
        </w:div>
        <w:div w:id="2100787823">
          <w:marLeft w:val="0"/>
          <w:marRight w:val="0"/>
          <w:marTop w:val="0"/>
          <w:marBottom w:val="0"/>
          <w:divBdr>
            <w:top w:val="none" w:sz="0" w:space="0" w:color="auto"/>
            <w:left w:val="none" w:sz="0" w:space="0" w:color="auto"/>
            <w:bottom w:val="none" w:sz="0" w:space="0" w:color="auto"/>
            <w:right w:val="none" w:sz="0" w:space="0" w:color="auto"/>
          </w:divBdr>
        </w:div>
      </w:divsChild>
    </w:div>
    <w:div w:id="832917754">
      <w:bodyDiv w:val="1"/>
      <w:marLeft w:val="0"/>
      <w:marRight w:val="0"/>
      <w:marTop w:val="0"/>
      <w:marBottom w:val="0"/>
      <w:divBdr>
        <w:top w:val="none" w:sz="0" w:space="0" w:color="auto"/>
        <w:left w:val="none" w:sz="0" w:space="0" w:color="auto"/>
        <w:bottom w:val="none" w:sz="0" w:space="0" w:color="auto"/>
        <w:right w:val="none" w:sz="0" w:space="0" w:color="auto"/>
      </w:divBdr>
    </w:div>
    <w:div w:id="896015405">
      <w:bodyDiv w:val="1"/>
      <w:marLeft w:val="0"/>
      <w:marRight w:val="0"/>
      <w:marTop w:val="0"/>
      <w:marBottom w:val="0"/>
      <w:divBdr>
        <w:top w:val="none" w:sz="0" w:space="0" w:color="auto"/>
        <w:left w:val="none" w:sz="0" w:space="0" w:color="auto"/>
        <w:bottom w:val="none" w:sz="0" w:space="0" w:color="auto"/>
        <w:right w:val="none" w:sz="0" w:space="0" w:color="auto"/>
      </w:divBdr>
    </w:div>
    <w:div w:id="959188961">
      <w:bodyDiv w:val="1"/>
      <w:marLeft w:val="0"/>
      <w:marRight w:val="0"/>
      <w:marTop w:val="0"/>
      <w:marBottom w:val="0"/>
      <w:divBdr>
        <w:top w:val="none" w:sz="0" w:space="0" w:color="auto"/>
        <w:left w:val="none" w:sz="0" w:space="0" w:color="auto"/>
        <w:bottom w:val="none" w:sz="0" w:space="0" w:color="auto"/>
        <w:right w:val="none" w:sz="0" w:space="0" w:color="auto"/>
      </w:divBdr>
    </w:div>
    <w:div w:id="1063797178">
      <w:bodyDiv w:val="1"/>
      <w:marLeft w:val="0"/>
      <w:marRight w:val="0"/>
      <w:marTop w:val="0"/>
      <w:marBottom w:val="0"/>
      <w:divBdr>
        <w:top w:val="none" w:sz="0" w:space="0" w:color="auto"/>
        <w:left w:val="none" w:sz="0" w:space="0" w:color="auto"/>
        <w:bottom w:val="none" w:sz="0" w:space="0" w:color="auto"/>
        <w:right w:val="none" w:sz="0" w:space="0" w:color="auto"/>
      </w:divBdr>
    </w:div>
    <w:div w:id="1255363172">
      <w:bodyDiv w:val="1"/>
      <w:marLeft w:val="0"/>
      <w:marRight w:val="0"/>
      <w:marTop w:val="0"/>
      <w:marBottom w:val="0"/>
      <w:divBdr>
        <w:top w:val="none" w:sz="0" w:space="0" w:color="auto"/>
        <w:left w:val="none" w:sz="0" w:space="0" w:color="auto"/>
        <w:bottom w:val="none" w:sz="0" w:space="0" w:color="auto"/>
        <w:right w:val="none" w:sz="0" w:space="0" w:color="auto"/>
      </w:divBdr>
    </w:div>
    <w:div w:id="1408189191">
      <w:bodyDiv w:val="1"/>
      <w:marLeft w:val="0"/>
      <w:marRight w:val="0"/>
      <w:marTop w:val="0"/>
      <w:marBottom w:val="0"/>
      <w:divBdr>
        <w:top w:val="none" w:sz="0" w:space="0" w:color="auto"/>
        <w:left w:val="none" w:sz="0" w:space="0" w:color="auto"/>
        <w:bottom w:val="none" w:sz="0" w:space="0" w:color="auto"/>
        <w:right w:val="none" w:sz="0" w:space="0" w:color="auto"/>
      </w:divBdr>
    </w:div>
    <w:div w:id="1453017415">
      <w:bodyDiv w:val="1"/>
      <w:marLeft w:val="0"/>
      <w:marRight w:val="0"/>
      <w:marTop w:val="0"/>
      <w:marBottom w:val="0"/>
      <w:divBdr>
        <w:top w:val="none" w:sz="0" w:space="0" w:color="auto"/>
        <w:left w:val="none" w:sz="0" w:space="0" w:color="auto"/>
        <w:bottom w:val="none" w:sz="0" w:space="0" w:color="auto"/>
        <w:right w:val="none" w:sz="0" w:space="0" w:color="auto"/>
      </w:divBdr>
    </w:div>
    <w:div w:id="1484391812">
      <w:bodyDiv w:val="1"/>
      <w:marLeft w:val="0"/>
      <w:marRight w:val="0"/>
      <w:marTop w:val="0"/>
      <w:marBottom w:val="0"/>
      <w:divBdr>
        <w:top w:val="none" w:sz="0" w:space="0" w:color="auto"/>
        <w:left w:val="none" w:sz="0" w:space="0" w:color="auto"/>
        <w:bottom w:val="none" w:sz="0" w:space="0" w:color="auto"/>
        <w:right w:val="none" w:sz="0" w:space="0" w:color="auto"/>
      </w:divBdr>
    </w:div>
    <w:div w:id="1556893627">
      <w:bodyDiv w:val="1"/>
      <w:marLeft w:val="0"/>
      <w:marRight w:val="0"/>
      <w:marTop w:val="0"/>
      <w:marBottom w:val="0"/>
      <w:divBdr>
        <w:top w:val="none" w:sz="0" w:space="0" w:color="auto"/>
        <w:left w:val="none" w:sz="0" w:space="0" w:color="auto"/>
        <w:bottom w:val="none" w:sz="0" w:space="0" w:color="auto"/>
        <w:right w:val="none" w:sz="0" w:space="0" w:color="auto"/>
      </w:divBdr>
    </w:div>
    <w:div w:id="1673798804">
      <w:bodyDiv w:val="1"/>
      <w:marLeft w:val="0"/>
      <w:marRight w:val="0"/>
      <w:marTop w:val="0"/>
      <w:marBottom w:val="0"/>
      <w:divBdr>
        <w:top w:val="none" w:sz="0" w:space="0" w:color="auto"/>
        <w:left w:val="none" w:sz="0" w:space="0" w:color="auto"/>
        <w:bottom w:val="none" w:sz="0" w:space="0" w:color="auto"/>
        <w:right w:val="none" w:sz="0" w:space="0" w:color="auto"/>
      </w:divBdr>
    </w:div>
    <w:div w:id="1770391874">
      <w:bodyDiv w:val="1"/>
      <w:marLeft w:val="0"/>
      <w:marRight w:val="0"/>
      <w:marTop w:val="0"/>
      <w:marBottom w:val="0"/>
      <w:divBdr>
        <w:top w:val="none" w:sz="0" w:space="0" w:color="auto"/>
        <w:left w:val="none" w:sz="0" w:space="0" w:color="auto"/>
        <w:bottom w:val="none" w:sz="0" w:space="0" w:color="auto"/>
        <w:right w:val="none" w:sz="0" w:space="0" w:color="auto"/>
      </w:divBdr>
      <w:divsChild>
        <w:div w:id="884760799">
          <w:marLeft w:val="0"/>
          <w:marRight w:val="0"/>
          <w:marTop w:val="0"/>
          <w:marBottom w:val="0"/>
          <w:divBdr>
            <w:top w:val="none" w:sz="0" w:space="0" w:color="auto"/>
            <w:left w:val="none" w:sz="0" w:space="0" w:color="auto"/>
            <w:bottom w:val="none" w:sz="0" w:space="0" w:color="auto"/>
            <w:right w:val="none" w:sz="0" w:space="0" w:color="auto"/>
          </w:divBdr>
        </w:div>
        <w:div w:id="1700004340">
          <w:marLeft w:val="0"/>
          <w:marRight w:val="0"/>
          <w:marTop w:val="0"/>
          <w:marBottom w:val="0"/>
          <w:divBdr>
            <w:top w:val="none" w:sz="0" w:space="0" w:color="auto"/>
            <w:left w:val="none" w:sz="0" w:space="0" w:color="auto"/>
            <w:bottom w:val="none" w:sz="0" w:space="0" w:color="auto"/>
            <w:right w:val="none" w:sz="0" w:space="0" w:color="auto"/>
          </w:divBdr>
        </w:div>
        <w:div w:id="1835147262">
          <w:marLeft w:val="0"/>
          <w:marRight w:val="0"/>
          <w:marTop w:val="0"/>
          <w:marBottom w:val="0"/>
          <w:divBdr>
            <w:top w:val="none" w:sz="0" w:space="0" w:color="auto"/>
            <w:left w:val="none" w:sz="0" w:space="0" w:color="auto"/>
            <w:bottom w:val="none" w:sz="0" w:space="0" w:color="auto"/>
            <w:right w:val="none" w:sz="0" w:space="0" w:color="auto"/>
          </w:divBdr>
        </w:div>
      </w:divsChild>
    </w:div>
    <w:div w:id="1831095207">
      <w:bodyDiv w:val="1"/>
      <w:marLeft w:val="0"/>
      <w:marRight w:val="0"/>
      <w:marTop w:val="0"/>
      <w:marBottom w:val="0"/>
      <w:divBdr>
        <w:top w:val="none" w:sz="0" w:space="0" w:color="auto"/>
        <w:left w:val="none" w:sz="0" w:space="0" w:color="auto"/>
        <w:bottom w:val="none" w:sz="0" w:space="0" w:color="auto"/>
        <w:right w:val="none" w:sz="0" w:space="0" w:color="auto"/>
      </w:divBdr>
    </w:div>
    <w:div w:id="1907565748">
      <w:bodyDiv w:val="1"/>
      <w:marLeft w:val="0"/>
      <w:marRight w:val="0"/>
      <w:marTop w:val="0"/>
      <w:marBottom w:val="0"/>
      <w:divBdr>
        <w:top w:val="none" w:sz="0" w:space="0" w:color="auto"/>
        <w:left w:val="none" w:sz="0" w:space="0" w:color="auto"/>
        <w:bottom w:val="none" w:sz="0" w:space="0" w:color="auto"/>
        <w:right w:val="none" w:sz="0" w:space="0" w:color="auto"/>
      </w:divBdr>
    </w:div>
    <w:div w:id="214226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f.gov.pl/ministerstwo-finansow/dzialalnosc/finanse-publiczne/sytuacja-makroekonomiczna-i-finanse-publiczne/wytyczne/-/asset_publisher/S0gu/content/wytyczne-dotyczace-stosowania-jednolitych-wskaznikow-makroekonomicznych-bedacych-podstawa-oszacowania-skutkow-finansowych-projektowanych-ustaw;jsessionid=1065FD5D001213ECD71FD650347F1674?redirect=http%3A%2F%2Fwww.mf.gov.pl%2Fministerstwo-finansow%2Fdzialalnosc%2Ffinanse-publiczne%2Fsytuacja-makroekonomiczna-i-finanse-publiczne%2Fwytyczne%3Fp_p_id%3D101_INSTANCE_S0gu%26p_p_lifecycle%3D0%26p_p_state%3Dnormal%26p_p_mode%3Dview%26p_p_col_id%3Dcolumn-2%26p_p_col_count%3D1%20-%20p_p_id_101_INSTANCE_S0gu_"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f.gov.pl/ministerstwo-finansow/dzialalnosc/finanse-publiczne/sytuacja-makroekonomiczna-i-finanse-publiczne/wytyczne/-/asset_publisher/S0gu/content/wytyczne-dotyczace-stosowania-jednolitych-wskaznikow-makroekonomicznych-bedacych-podstawa-oszacowania-skutkow-finansowych-projektowanych-ustaw?redirect=http%3A%2F%2Fwww.mf.gov.pl%2Fministerstwo-finansow%2Fdzialalnosc%2Ffinanse-publiczne%2Fsytuacja-makroekonomiczna-i-finanse-publiczne%2Fwytyczne%3Fp_p_id%3D101_INSTANCE_S0gu%26p_p_lifecycle%3D0%26p_p_state%3Dnormal%26p_p_mode%3Dview%26p_p_col_id%3Dcolumn-2%26p_p_col_count%3D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iepelnosprawni.gov.pl/p,81,bae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ynagrodzenia.pl/moja-placa/ile-zarabia-prawni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7D6E3D20841A4894DC49DCA7B7D642" ma:contentTypeVersion="16" ma:contentTypeDescription="Utwórz nowy dokument." ma:contentTypeScope="" ma:versionID="d125c67004c3ef6b3ef39fa04c17f851">
  <xsd:schema xmlns:xsd="http://www.w3.org/2001/XMLSchema" xmlns:xs="http://www.w3.org/2001/XMLSchema" xmlns:p="http://schemas.microsoft.com/office/2006/metadata/properties" xmlns:ns1="http://schemas.microsoft.com/sharepoint/v3" xmlns:ns2="a5629066-0be0-4a47-9448-2778483f24b4" xmlns:ns3="e359f2ae-4ee3-4430-92a0-9420a1537872" targetNamespace="http://schemas.microsoft.com/office/2006/metadata/properties" ma:root="true" ma:fieldsID="184c3b570fa3487012849ee859895210" ns1:_="" ns2:_="" ns3:_="">
    <xsd:import namespace="http://schemas.microsoft.com/sharepoint/v3"/>
    <xsd:import namespace="a5629066-0be0-4a47-9448-2778483f24b4"/>
    <xsd:import namespace="e359f2ae-4ee3-4430-92a0-9420a15378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1:PublishingStartDate" minOccurs="0"/>
                <xsd:element ref="ns1:PublishingExpirationDate"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6"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629066-0be0-4a47-9448-2778483f2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6fed6d34-e822-47fd-8df7-ee9d34bc101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59f2ae-4ee3-4430-92a0-9420a1537872"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90028ce7-d739-4feb-b553-cccbd038250a}" ma:internalName="TaxCatchAll" ma:showField="CatchAllData" ma:web="e359f2ae-4ee3-4430-92a0-9420a153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629066-0be0-4a47-9448-2778483f24b4">
      <Terms xmlns="http://schemas.microsoft.com/office/infopath/2007/PartnerControls"/>
    </lcf76f155ced4ddcb4097134ff3c332f>
    <TaxCatchAll xmlns="e359f2ae-4ee3-4430-92a0-9420a1537872"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0CD00F-0037-42A4-A467-733AFA55E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629066-0be0-4a47-9448-2778483f24b4"/>
    <ds:schemaRef ds:uri="e359f2ae-4ee3-4430-92a0-9420a153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144592-D926-42AB-BF94-832DBDFFCE90}">
  <ds:schemaRefs>
    <ds:schemaRef ds:uri="http://schemas.microsoft.com/sharepoint/v3/contenttype/forms"/>
  </ds:schemaRefs>
</ds:datastoreItem>
</file>

<file path=customXml/itemProps3.xml><?xml version="1.0" encoding="utf-8"?>
<ds:datastoreItem xmlns:ds="http://schemas.openxmlformats.org/officeDocument/2006/customXml" ds:itemID="{2F247EA4-BF5F-45E9-8D9C-6A0D405D6352}">
  <ds:schemaRefs>
    <ds:schemaRef ds:uri="http://schemas.microsoft.com/office/2006/metadata/properties"/>
    <ds:schemaRef ds:uri="http://schemas.microsoft.com/office/infopath/2007/PartnerControls"/>
    <ds:schemaRef ds:uri="a5629066-0be0-4a47-9448-2778483f24b4"/>
    <ds:schemaRef ds:uri="e359f2ae-4ee3-4430-92a0-9420a153787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10938</Words>
  <Characters>65629</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76415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2023-03-28T15:16:00Z</dcterms:created>
  <dcterms:modified xsi:type="dcterms:W3CDTF">2023-05-14T22:34:00Z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0x010100847D6E3D20841A4894DC49DCA7B7D642</vt:lpwstr>
  </property>
  <property fmtid="{D5CDD505-2E9C-101B-9397-08002B2CF9AE}" pid="3" name="MediaServiceImageTags">
    <vt:lpwstr/>
  </property>
</Properties>
</file>