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4F04" w14:textId="77777777" w:rsidR="000D1A5D" w:rsidRDefault="000D1A5D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1160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645"/>
        <w:gridCol w:w="420"/>
        <w:gridCol w:w="465"/>
        <w:gridCol w:w="420"/>
        <w:gridCol w:w="150"/>
        <w:gridCol w:w="180"/>
        <w:gridCol w:w="390"/>
        <w:gridCol w:w="555"/>
        <w:gridCol w:w="105"/>
        <w:gridCol w:w="120"/>
        <w:gridCol w:w="150"/>
        <w:gridCol w:w="300"/>
        <w:gridCol w:w="360"/>
        <w:gridCol w:w="210"/>
        <w:gridCol w:w="570"/>
        <w:gridCol w:w="105"/>
        <w:gridCol w:w="105"/>
        <w:gridCol w:w="420"/>
        <w:gridCol w:w="120"/>
        <w:gridCol w:w="405"/>
        <w:gridCol w:w="105"/>
        <w:gridCol w:w="270"/>
        <w:gridCol w:w="300"/>
        <w:gridCol w:w="315"/>
        <w:gridCol w:w="255"/>
        <w:gridCol w:w="570"/>
        <w:gridCol w:w="120"/>
        <w:gridCol w:w="1425"/>
      </w:tblGrid>
      <w:tr w:rsidR="000D1A5D" w14:paraId="3C532968" w14:textId="77777777">
        <w:trPr>
          <w:trHeight w:val="1611"/>
        </w:trPr>
        <w:tc>
          <w:tcPr>
            <w:tcW w:w="6750" w:type="dxa"/>
            <w:gridSpan w:val="17"/>
            <w:shd w:val="clear" w:color="auto" w:fill="auto"/>
          </w:tcPr>
          <w:p w14:paraId="086A019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Nazwa projektu</w:t>
            </w:r>
            <w:bookmarkStart w:id="1" w:name="bookmark=id.30j0zll" w:colFirst="0" w:colLast="0"/>
            <w:bookmarkEnd w:id="1"/>
          </w:p>
          <w:p w14:paraId="65CB5C4A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Rozporządzenie Ministra Rodziny i Polityki Społecznej w sprawie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pracy mobilnego doradcy włączenia społecznego</w:t>
            </w:r>
          </w:p>
          <w:p w14:paraId="45A06554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Ministerstwo wiodące i ministerstwa współpracujące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  <w:p w14:paraId="355C2BFF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Ministerstwo Rodziny i Polityki Społecznej</w:t>
            </w:r>
          </w:p>
          <w:p w14:paraId="2C109F5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" w:name="bookmark=id.1fob9te" w:colFirst="0" w:colLast="0"/>
            <w:bookmarkEnd w:id="2"/>
          </w:p>
          <w:p w14:paraId="14BEA8CD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Osoba odpowiedzialna za projekt w randze Ministra, Sekretarza Stanu lub Podsekretarza Stanu </w:t>
            </w:r>
          </w:p>
          <w:p w14:paraId="715E772B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500E9D6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Kontakt do opiekuna merytorycznego projektu</w:t>
            </w:r>
          </w:p>
          <w:p w14:paraId="5BB8C70A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</w:tc>
        <w:tc>
          <w:tcPr>
            <w:tcW w:w="4410" w:type="dxa"/>
            <w:gridSpan w:val="12"/>
            <w:shd w:val="clear" w:color="auto" w:fill="FFFFFF"/>
          </w:tcPr>
          <w:p w14:paraId="5AB8AFEF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Data sporządzenia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7A4253D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974E26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Źródło: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Własne</w:t>
            </w:r>
          </w:p>
          <w:p w14:paraId="109DE924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05BBAF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FDE57E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 w wykazie prac ………………….</w:t>
            </w:r>
          </w:p>
          <w:p w14:paraId="0259E01B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  <w:p w14:paraId="4CF70A4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A5D" w14:paraId="04979F8D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5D6847CE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0D1A5D" w14:paraId="2A668809" w14:textId="77777777">
        <w:trPr>
          <w:trHeight w:val="333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47D0A569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Jaki problem jest rozwiązywany</w:t>
            </w:r>
            <w:bookmarkStart w:id="4" w:name="bookmark=id.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</w:p>
        </w:tc>
      </w:tr>
      <w:tr w:rsidR="000D1A5D" w14:paraId="0383215D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3A7D8169" w14:textId="104FC11A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Potrzeba wydania rozporządzenia Ministra Rodziny i Polityki Społecznej w sprawie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pracy mobilnego doradcy włączenia społecznego wynika z konieczności wypełnienia delegacji ustawowej zawartej w art.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 ust. 7 ustawy z dnia ……… o zawodzie mobilnego doradcy włączenia społecznego oraz zmianie ustawy o podatku od towarów  i usług (Dz.  U. z ……… poz. ……….)</w:t>
            </w:r>
            <w:r w:rsidR="008F0588">
              <w:rPr>
                <w:rFonts w:ascii="Times New Roman" w:eastAsia="Times New Roman" w:hAnsi="Times New Roman" w:cs="Times New Roman"/>
                <w:color w:val="000000"/>
              </w:rPr>
              <w:t>, zwanej dalej „ustawą”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BDA5F3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Zawarte w projekcie rozporządzenia rozwiązania mają na celu określenie standardu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pracy mobilnego doradcy w Polsce i ujednolicenie zasad jej prowadzenia w podmiotach zatrudniających mobilnych doradców oraz wprowadzenie jednolitego sposobu szkolenia superwizorów pracy mobilnego doradcy i zasad zdobywania certyfikatu superwizora pracy mobilnego doradcy.</w:t>
            </w:r>
          </w:p>
        </w:tc>
      </w:tr>
      <w:tr w:rsidR="000D1A5D" w14:paraId="1A4D64BC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58A3ADBF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Rekomendowane rozwiązanie, w tym planowane narzędzia interwencji, i oczekiwany efekt</w:t>
            </w:r>
          </w:p>
        </w:tc>
      </w:tr>
      <w:tr w:rsidR="000D1A5D" w14:paraId="101ACECC" w14:textId="77777777">
        <w:trPr>
          <w:trHeight w:val="142"/>
        </w:trPr>
        <w:tc>
          <w:tcPr>
            <w:tcW w:w="11160" w:type="dxa"/>
            <w:gridSpan w:val="29"/>
          </w:tcPr>
          <w:p w14:paraId="261E4CCD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 rozporządzenia zawiera rozwiązania dotyczące:</w:t>
            </w:r>
          </w:p>
          <w:p w14:paraId="31129846" w14:textId="77777777" w:rsidR="008F0588" w:rsidRPr="008F0588" w:rsidRDefault="008F0588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Times New Roman" w:eastAsia="Times New Roman" w:hAnsi="Times New Roman" w:cs="Times New Roman"/>
                <w:color w:val="000000"/>
              </w:rPr>
              <w:t xml:space="preserve">1) wytycznych i standardu dla </w:t>
            </w:r>
            <w:proofErr w:type="spellStart"/>
            <w:r w:rsidRPr="008F0588"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 w:rsidRPr="008F0588">
              <w:rPr>
                <w:rFonts w:ascii="Times New Roman" w:eastAsia="Times New Roman" w:hAnsi="Times New Roman" w:cs="Times New Roman"/>
                <w:color w:val="000000"/>
              </w:rPr>
              <w:t xml:space="preserve"> pracy mobilnego doradcy; </w:t>
            </w:r>
          </w:p>
          <w:p w14:paraId="31688F59" w14:textId="77777777" w:rsidR="008F0588" w:rsidRPr="008F0588" w:rsidRDefault="008F0588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Times New Roman" w:eastAsia="Times New Roman" w:hAnsi="Times New Roman" w:cs="Times New Roman"/>
                <w:color w:val="000000"/>
              </w:rPr>
              <w:t>2) minimum programowego dla szkolenia superwizorów pracy mobilnego doradcy;</w:t>
            </w:r>
          </w:p>
          <w:p w14:paraId="1350071D" w14:textId="77777777" w:rsidR="008F0588" w:rsidRPr="008F0588" w:rsidRDefault="008F0588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Times New Roman" w:eastAsia="Times New Roman" w:hAnsi="Times New Roman" w:cs="Times New Roman"/>
                <w:color w:val="000000"/>
              </w:rPr>
              <w:t>3) sposobu i trybu szkolenia superwizorów pracy mobilnego doradcy;</w:t>
            </w:r>
          </w:p>
          <w:p w14:paraId="002DA118" w14:textId="77777777" w:rsidR="008F0588" w:rsidRPr="008F0588" w:rsidRDefault="008F0588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Times New Roman" w:eastAsia="Times New Roman" w:hAnsi="Times New Roman" w:cs="Times New Roman"/>
                <w:color w:val="000000"/>
              </w:rPr>
              <w:t>4) trybu nadawania certyfikatu superwizora pracy mobilnego doradcy i odpłatności za postępowanie związane z uzyskaniem certyfikatu;</w:t>
            </w:r>
          </w:p>
          <w:p w14:paraId="7189BE5D" w14:textId="77777777" w:rsidR="008F0588" w:rsidRPr="008F0588" w:rsidRDefault="008F0588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Times New Roman" w:eastAsia="Times New Roman" w:hAnsi="Times New Roman" w:cs="Times New Roman"/>
                <w:color w:val="000000"/>
              </w:rPr>
              <w:t>5) wzoru certyfikatu superwizora pracy mobilnego doradcy;</w:t>
            </w:r>
          </w:p>
          <w:p w14:paraId="4C58F786" w14:textId="77777777" w:rsidR="008F0588" w:rsidRPr="008F0588" w:rsidRDefault="008F0588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Times New Roman" w:eastAsia="Times New Roman" w:hAnsi="Times New Roman" w:cs="Times New Roman"/>
                <w:color w:val="000000"/>
              </w:rPr>
              <w:t xml:space="preserve">6) podmiotów uprawnionych do prowadzenia szkolenia z zakresu </w:t>
            </w:r>
            <w:proofErr w:type="spellStart"/>
            <w:r w:rsidRPr="008F0588"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 w:rsidRPr="008F0588">
              <w:rPr>
                <w:rFonts w:ascii="Times New Roman" w:eastAsia="Times New Roman" w:hAnsi="Times New Roman" w:cs="Times New Roman"/>
                <w:color w:val="000000"/>
              </w:rPr>
              <w:t xml:space="preserve"> pracy mobilnego doradcy;</w:t>
            </w:r>
          </w:p>
          <w:p w14:paraId="0C1CB85C" w14:textId="77777777" w:rsidR="008F0588" w:rsidRPr="008F0588" w:rsidRDefault="008F0588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Times New Roman" w:eastAsia="Times New Roman" w:hAnsi="Times New Roman" w:cs="Times New Roman"/>
                <w:color w:val="000000"/>
              </w:rPr>
              <w:t>7) zasad i trybu prowadzenia nadzoru merytorycznego nad szkoleniami dla superwizorów</w:t>
            </w:r>
            <w:r w:rsidRPr="008F0588">
              <w:rPr>
                <w:rFonts w:ascii="Times New Roman" w:eastAsia="Times New Roman" w:hAnsi="Times New Roman" w:cs="Times New Roman"/>
                <w:color w:val="000000"/>
              </w:rPr>
              <w:br/>
              <w:t>pracy mobilnego doradcy.</w:t>
            </w:r>
          </w:p>
          <w:p w14:paraId="665C08CA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Proponowane rozwiązania umożliwią wszystkim mobilnym doradcom korzystanie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jako formy poradnictwa, mającego na celu zachowanie i wzmocnienie ich kompetencji zawodowych, utrzymanie wysokiego poziomu świadczonych usług oraz przeciwdziałanie zjawisku wypalenia zawodowego.</w:t>
            </w:r>
          </w:p>
          <w:p w14:paraId="73CA1DC6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celu zapewnienia jak najwyższego poziomu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będzie ona mogła być prowadzona wyłącznie przez certyfikowanych superwizorów. Wprowadzone rozwiązania przyczynią się do zapewnienia wysokiego poziomu szkolenia i przygotowania superwizorów pracy mobilnego doradcy, co za tym idzie również wysokiego poziomu świadczonych usług. Proponowane rozwiązania wprowadzą ujednolicone w skali kraju wymogi dotyczące nadawania certyfikatu superwizora pracy mobilnego doradcy. </w:t>
            </w:r>
          </w:p>
          <w:p w14:paraId="2BE52074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062FC732" w14:textId="77777777">
        <w:trPr>
          <w:trHeight w:val="307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F7C149D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 problem został rozwiązany w innych krajach, w szczególności krajach członkowskich OECD/UE?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0D1A5D" w14:paraId="2ACEF4D3" w14:textId="77777777">
        <w:trPr>
          <w:trHeight w:val="142"/>
        </w:trPr>
        <w:tc>
          <w:tcPr>
            <w:tcW w:w="11160" w:type="dxa"/>
            <w:gridSpan w:val="29"/>
          </w:tcPr>
          <w:p w14:paraId="71F97BE3" w14:textId="3E248662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Odkąd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zaczęła nabierać znaczenia jako profesjonalny sposób/środek prowadzenia doradztwa zorientowanego na proces, w kilku krajach </w:t>
            </w:r>
            <w:r w:rsidR="00A81524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uropejskich od 1975 roku zaczęły powstawać narodowe stowarzyszenia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superwizyjne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21 listopada 1997 r. narodowe zawodowe organizacje działające na rzecz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będące odpowiedzią na potrzebę europejskiej współpracy i wymiany poglądów pomiędzy profesjonalistami powołały ANSE jako europejskie stowarzyszenie parasolowe. Obecnie ANSE reprezentuje ponad 8.000 wykwalifikowanych superwizorów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coachów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zakresie doradztwa z 22 krajów i z ponad 80 instytucji szkolących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815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Doświadczenia międzynarodowe ukazują bardzo różne podejścia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jej standaryzacji.</w:t>
            </w:r>
          </w:p>
          <w:p w14:paraId="0B12B28C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uwagi na brak rozwiązań bezpośrednio dotyczących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osób świadczących usługi mobilnego wsparcia, w OSR przedstawiono przede wszystkim dane z innych państw dotyczące ogólnie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obszarze pomocy społecznej.</w:t>
            </w:r>
          </w:p>
          <w:p w14:paraId="67585ABB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 potrzeby opracowania ORS analiza doświadczeń w zakresie standaryzacji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pracy w innych krajach skupia się na doświadczeniach: Słowenii, Szwecji, Finlandii i USA.</w:t>
            </w:r>
          </w:p>
          <w:p w14:paraId="439DA8C7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Słowenia</w:t>
            </w:r>
          </w:p>
          <w:p w14:paraId="1260A2E7" w14:textId="43603B08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 Słowenii po raz pierwszy wprowadzona została do obszaru pomocy społecznej i pracy socjalnej w 1979 r. (zmiany w prawie rodzinnym). W 1992 roku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jako narzędzie wspierania pracy zawodowej w obszarze pracy socjalnej została wprowadzona w ustawie o pomocy społecznej.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prowadzona w Słowenii pełni funkcję wspierającą i edukacyjną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2"/>
            </w:r>
            <w:r w:rsidR="008F058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0562BC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Szwecja</w:t>
            </w:r>
          </w:p>
          <w:p w14:paraId="24D9F2B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Korzenie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tkwią w psychoterapii i zostały przełożone na grunt pracy socjalnej. Już od lat 40 XX wieku Szwecja wypracowała „tradycję”, zgodnie z którą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jest definiowana jako część procesu pracy, jako pomoc regularnie dostarczana pracownikom (25 lat kształcenia superwizorów w Uniwersytecie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Gothenburg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). Cechy wyróżniające szwedzki model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fakt, że nacisk położony jest na model rozwojowo-integracyjny.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wyłączony jest aspekt kontroli.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3"/>
            </w:r>
          </w:p>
          <w:p w14:paraId="584141A0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Finlandia</w:t>
            </w:r>
          </w:p>
          <w:p w14:paraId="5A7F8D96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jest w Finlandii rozumiana jako:</w:t>
            </w:r>
          </w:p>
          <w:p w14:paraId="22A59C0B" w14:textId="7B712855" w:rsidR="000D1A5D" w:rsidRDefault="00000000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oparty na dialogu proces, realizowany na regularnych sesjach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superwizyjnych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pomiędzy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superwizowanymi</w:t>
            </w:r>
            <w:proofErr w:type="spellEnd"/>
            <w:r w:rsidR="008F05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 superwizorami, stanowiący forum do refleksji i rozwoju praktyki zawodowej,</w:t>
            </w:r>
          </w:p>
          <w:p w14:paraId="466015E2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forum organizacyjnego zaufania, otwarty i oparty na zaufaniu dialog oraz możliwość kontrolowania i krytycznej refleksji,</w:t>
            </w:r>
          </w:p>
          <w:p w14:paraId="6F34484E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wypełnianie luki między praktyką a przywództwem,</w:t>
            </w:r>
          </w:p>
          <w:p w14:paraId="3B577B5F" w14:textId="130ED16E" w:rsidR="000D1A5D" w:rsidRDefault="00000000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środek do redefinicji oraz holistycznego zrozumienia działalności zawodowej, sprawstwo w zmieniających się</w:t>
            </w:r>
            <w:r w:rsidR="008F05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kontekstach zawodowych,</w:t>
            </w:r>
          </w:p>
          <w:p w14:paraId="2624B34C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opcja do identyfikacji nacisków i obciążeń zawodowych - wytwarzanie nowej wiedzy i zastosowanie wiedzy eksperckiej,</w:t>
            </w:r>
          </w:p>
          <w:p w14:paraId="1E4342E4" w14:textId="239778B6" w:rsidR="000D1A5D" w:rsidRDefault="00000000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środek przywództwa i zarządzania w celu promocji odpowiednich usług i zdrowej kultury organizacyjnej oraz</w:t>
            </w:r>
            <w:r w:rsidR="008F05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spersonalizowanych usług.</w:t>
            </w:r>
          </w:p>
          <w:p w14:paraId="1569E57F" w14:textId="3588E15D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Finlandii nie ma standaryzacji, ale w praktyce superwizorzy posiadają dyplom na poziomie zaawansowanym, akredytowany przez STORY-FSA. Istnieje bardzo ogólna rekomendacja do posiadania dyplomu w profesjonalnej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Szkolenie składa się z 60 punktów ECTS (około 2,5 roku), i zawiera zarówno praktyczne doświadczenia jako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superwizowany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jako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superwizowany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superwizor, oraz naukę teorii i praktyki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Podejście w tych programach szkoleniowych może zawierać różne orientacje teoretyczne, jak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systemowe,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psychodynamiczne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dialogowe, oparte na aktywności. Profesjonaliści uprawnieni do dyplomu superwizora mogą pochodzić z różnych zawodów, także z pracy socjalnej.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4"/>
            </w:r>
          </w:p>
          <w:p w14:paraId="1A95E340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USA</w:t>
            </w:r>
          </w:p>
          <w:p w14:paraId="033BC4E0" w14:textId="6033E42E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Doświadczenia USA opisane zostały w publikacji przygotowanej w 2012 r. wspólnie przez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Workers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(NASW) oraz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Boards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(ASWB). Prowadzenie procesu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superwizyjnego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oparte jest na następujących zasadach: poufności, kontraktowaniu superwizora, przywódczej i edukacyjnej roli superwizora</w:t>
            </w:r>
            <w:r w:rsidR="00A815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odpowiedzialności superwizora za działanie w obszarze swoich kompetencji, pisemnym potwierdzeniu realizacji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oraz trosce o kwestie związane z wypaleniem zawodowym.</w:t>
            </w:r>
          </w:p>
          <w:p w14:paraId="26FC88D0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kwestiach etycznych NASW wyznacza następujące standardy dla superwizorów w USA:</w:t>
            </w:r>
          </w:p>
          <w:p w14:paraId="4119595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superwizorzy powinni prowadzić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jedynie w zakresie swoich kompetencji oraz wiedzy,</w:t>
            </w:r>
          </w:p>
          <w:p w14:paraId="6D251B57" w14:textId="649BCAAA" w:rsidR="000D1A5D" w:rsidRDefault="00000000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superwizorzy są odpowiedzialni za wyznaczenie granic w relacji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superwizyjnej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(biorąc także pod uwagę czynniki</w:t>
            </w:r>
            <w:r w:rsidR="008F05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kulturowe),</w:t>
            </w:r>
          </w:p>
          <w:p w14:paraId="4396DCB4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superwizorzy nie powinni wchodzić w relacje intymne lub koleżeńskie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superwizowanymi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0D9DC839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zasady oraz sam proces ewaluacji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superwizowanego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muszą być sprawiedliwe oraz przejrzyste,</w:t>
            </w:r>
          </w:p>
          <w:p w14:paraId="01E4E415" w14:textId="633F8472" w:rsidR="000D1A5D" w:rsidRDefault="00000000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nie jest psychoterapią czy psychoanalizą, dlatego superwizor powinien być zawsze </w:t>
            </w:r>
            <w:r>
              <w:rPr>
                <w:rFonts w:ascii="Times New Roman" w:eastAsia="Times New Roman" w:hAnsi="Times New Roman" w:cs="Times New Roman"/>
              </w:rPr>
              <w:t>skierowany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na cele</w:t>
            </w:r>
            <w:r w:rsidR="008F05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 nie wykraczać poza granicę tej relacji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superwizyjnej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41BA800B" w14:textId="3787FFF1" w:rsidR="000D1A5D" w:rsidRDefault="00000000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relacja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superwizyjna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jest relacją profesjonalną i w jej trakcie superwizorzy powinni zachować dyskrecję związaną</w:t>
            </w:r>
            <w:r w:rsidR="008F05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 informacjami dotyczącymi własnego życia prywatnego.</w:t>
            </w:r>
          </w:p>
        </w:tc>
      </w:tr>
      <w:tr w:rsidR="000D1A5D" w14:paraId="01779BF9" w14:textId="77777777">
        <w:trPr>
          <w:trHeight w:val="359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092F96C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Podmioty, na które oddziałuje projekt</w:t>
            </w:r>
          </w:p>
        </w:tc>
      </w:tr>
      <w:tr w:rsidR="000D1A5D" w14:paraId="3CF33189" w14:textId="77777777">
        <w:trPr>
          <w:trHeight w:val="142"/>
        </w:trPr>
        <w:tc>
          <w:tcPr>
            <w:tcW w:w="2670" w:type="dxa"/>
            <w:gridSpan w:val="3"/>
          </w:tcPr>
          <w:p w14:paraId="64A75CF9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Grupa</w:t>
            </w:r>
          </w:p>
        </w:tc>
        <w:tc>
          <w:tcPr>
            <w:tcW w:w="2385" w:type="dxa"/>
            <w:gridSpan w:val="8"/>
          </w:tcPr>
          <w:p w14:paraId="03A69B2C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Wielkość</w:t>
            </w:r>
          </w:p>
        </w:tc>
        <w:tc>
          <w:tcPr>
            <w:tcW w:w="3120" w:type="dxa"/>
            <w:gridSpan w:val="12"/>
          </w:tcPr>
          <w:p w14:paraId="299B9657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Źródło danych </w:t>
            </w:r>
          </w:p>
        </w:tc>
        <w:tc>
          <w:tcPr>
            <w:tcW w:w="2985" w:type="dxa"/>
            <w:gridSpan w:val="6"/>
          </w:tcPr>
          <w:p w14:paraId="50E359A7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Oddziaływanie</w:t>
            </w:r>
          </w:p>
        </w:tc>
      </w:tr>
      <w:tr w:rsidR="000D1A5D" w14:paraId="619F0045" w14:textId="77777777">
        <w:trPr>
          <w:trHeight w:val="142"/>
        </w:trPr>
        <w:tc>
          <w:tcPr>
            <w:tcW w:w="2670" w:type="dxa"/>
            <w:gridSpan w:val="3"/>
          </w:tcPr>
          <w:p w14:paraId="58C034C0" w14:textId="0BCDA052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Mobilny doradcy </w:t>
            </w:r>
            <w:r w:rsidR="008F0588">
              <w:rPr>
                <w:rFonts w:ascii="Times New Roman" w:eastAsia="Times New Roman" w:hAnsi="Times New Roman" w:cs="Times New Roman"/>
                <w:color w:val="000000"/>
              </w:rPr>
              <w:t>włączenia społecznego</w:t>
            </w:r>
          </w:p>
        </w:tc>
        <w:tc>
          <w:tcPr>
            <w:tcW w:w="2385" w:type="dxa"/>
            <w:gridSpan w:val="8"/>
          </w:tcPr>
          <w:p w14:paraId="60B49DBD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</w:t>
            </w:r>
          </w:p>
        </w:tc>
        <w:tc>
          <w:tcPr>
            <w:tcW w:w="3120" w:type="dxa"/>
            <w:gridSpan w:val="12"/>
          </w:tcPr>
          <w:p w14:paraId="0C143C6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Dane własne</w:t>
            </w:r>
          </w:p>
        </w:tc>
        <w:tc>
          <w:tcPr>
            <w:tcW w:w="2985" w:type="dxa"/>
            <w:gridSpan w:val="6"/>
          </w:tcPr>
          <w:p w14:paraId="1EDD29DD" w14:textId="78F72A22" w:rsidR="00A81524" w:rsidRPr="00A81524" w:rsidRDefault="00A81524" w:rsidP="00A81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1524">
              <w:rPr>
                <w:rFonts w:ascii="Times New Roman" w:eastAsia="Times New Roman" w:hAnsi="Times New Roman" w:cs="Times New Roman"/>
                <w:color w:val="000000"/>
              </w:rPr>
              <w:t xml:space="preserve">Proponowane regulacje umożliwią mobilnym doradcą włączenia społecznego korzystanie z </w:t>
            </w:r>
            <w:proofErr w:type="spellStart"/>
            <w:r w:rsidRPr="00A81524"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 w:rsidRPr="00A81524">
              <w:rPr>
                <w:rFonts w:ascii="Times New Roman" w:eastAsia="Times New Roman" w:hAnsi="Times New Roman" w:cs="Times New Roman"/>
                <w:color w:val="000000"/>
              </w:rPr>
              <w:t xml:space="preserve"> w celu podniesienia kompetencji </w:t>
            </w:r>
            <w:r w:rsidRPr="00A815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zawodowych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81524">
              <w:rPr>
                <w:rFonts w:ascii="Times New Roman" w:eastAsia="Times New Roman" w:hAnsi="Times New Roman" w:cs="Times New Roman"/>
                <w:color w:val="000000"/>
              </w:rPr>
              <w:t>przeciwdziałania wypaleniu</w:t>
            </w:r>
          </w:p>
          <w:p w14:paraId="7F5DB545" w14:textId="259BB5A4" w:rsidR="000D1A5D" w:rsidRDefault="00A81524" w:rsidP="00A81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1524">
              <w:rPr>
                <w:rFonts w:ascii="Times New Roman" w:eastAsia="Times New Roman" w:hAnsi="Times New Roman" w:cs="Times New Roman"/>
                <w:color w:val="000000"/>
              </w:rPr>
              <w:t>zawodowemu, co przekłada się na poziom usług świadczonych przez tę grupę zawodową.</w:t>
            </w:r>
          </w:p>
          <w:p w14:paraId="2573AC20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47306C7D" w14:textId="77777777">
        <w:trPr>
          <w:trHeight w:val="142"/>
        </w:trPr>
        <w:tc>
          <w:tcPr>
            <w:tcW w:w="2670" w:type="dxa"/>
            <w:gridSpan w:val="3"/>
          </w:tcPr>
          <w:p w14:paraId="2BDA3D32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Powiaty i miasta na prawach powiatów </w:t>
            </w:r>
          </w:p>
        </w:tc>
        <w:tc>
          <w:tcPr>
            <w:tcW w:w="2385" w:type="dxa"/>
            <w:gridSpan w:val="8"/>
          </w:tcPr>
          <w:p w14:paraId="6E6A70BE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3120" w:type="dxa"/>
            <w:gridSpan w:val="12"/>
          </w:tcPr>
          <w:p w14:paraId="0474111A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Dane własne</w:t>
            </w:r>
          </w:p>
        </w:tc>
        <w:tc>
          <w:tcPr>
            <w:tcW w:w="2985" w:type="dxa"/>
            <w:gridSpan w:val="6"/>
          </w:tcPr>
          <w:p w14:paraId="73C0D17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Konieczność zorganizowania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dla wszystkich mobilnych doradców działających na terenie danego powiatu</w:t>
            </w:r>
          </w:p>
        </w:tc>
      </w:tr>
      <w:tr w:rsidR="000D1A5D" w14:paraId="088DB415" w14:textId="77777777">
        <w:trPr>
          <w:trHeight w:val="142"/>
        </w:trPr>
        <w:tc>
          <w:tcPr>
            <w:tcW w:w="2670" w:type="dxa"/>
            <w:gridSpan w:val="3"/>
          </w:tcPr>
          <w:p w14:paraId="27BEE256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Ośrodki szkoleniowe</w:t>
            </w:r>
          </w:p>
        </w:tc>
        <w:tc>
          <w:tcPr>
            <w:tcW w:w="2385" w:type="dxa"/>
            <w:gridSpan w:val="8"/>
          </w:tcPr>
          <w:p w14:paraId="60FDB86F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Trudno oszacować liczbę podmiotów prowadzących szkolenia dla superwizorów, gdyż do tej pory nie funkcjonowała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superwizja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pracy mobilnego doradcy. Dopiero przedmiotowe rozwiązania umożliwią prowadzenie szkoleń dla superwizorów pracy mobilnego doradcy.</w:t>
            </w:r>
          </w:p>
        </w:tc>
        <w:tc>
          <w:tcPr>
            <w:tcW w:w="3120" w:type="dxa"/>
            <w:gridSpan w:val="12"/>
          </w:tcPr>
          <w:p w14:paraId="0099673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Dane własne</w:t>
            </w:r>
          </w:p>
        </w:tc>
        <w:tc>
          <w:tcPr>
            <w:tcW w:w="2985" w:type="dxa"/>
            <w:gridSpan w:val="6"/>
          </w:tcPr>
          <w:p w14:paraId="1818C01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Proponowane zmiany ujednolicą zasady i tryb szkolenia superwizorów pracy mobilnego doradcy</w:t>
            </w:r>
          </w:p>
        </w:tc>
      </w:tr>
      <w:tr w:rsidR="000D1A5D" w14:paraId="30A4B526" w14:textId="77777777">
        <w:trPr>
          <w:trHeight w:val="142"/>
        </w:trPr>
        <w:tc>
          <w:tcPr>
            <w:tcW w:w="2670" w:type="dxa"/>
            <w:gridSpan w:val="3"/>
          </w:tcPr>
          <w:p w14:paraId="3F424F6D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Superwizorzy</w:t>
            </w:r>
          </w:p>
        </w:tc>
        <w:tc>
          <w:tcPr>
            <w:tcW w:w="2385" w:type="dxa"/>
            <w:gridSpan w:val="8"/>
          </w:tcPr>
          <w:p w14:paraId="6DEDD6DC" w14:textId="26E12216" w:rsidR="000D1A5D" w:rsidRDefault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Ok. 50. </w:t>
            </w:r>
            <w:r w:rsidR="00000000">
              <w:rPr>
                <w:rFonts w:ascii="Times New Roman" w:eastAsia="Times New Roman" w:hAnsi="Times New Roman" w:cs="Times New Roman"/>
                <w:color w:val="000000"/>
              </w:rPr>
              <w:t>Trudno oszacować liczbę superwizorów pracy mobilnego doradcy, gdyż do tej pory nie funkcjonowała formalnie taka grupa zawodowa. Dopiero przedmiotowe rozwiązania umożliwią zdobycie uprawnień superwizora pracy mobilnego doradcy</w:t>
            </w:r>
          </w:p>
        </w:tc>
        <w:tc>
          <w:tcPr>
            <w:tcW w:w="3120" w:type="dxa"/>
            <w:gridSpan w:val="12"/>
          </w:tcPr>
          <w:p w14:paraId="58589860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Dane własne</w:t>
            </w:r>
          </w:p>
        </w:tc>
        <w:tc>
          <w:tcPr>
            <w:tcW w:w="2985" w:type="dxa"/>
            <w:gridSpan w:val="6"/>
          </w:tcPr>
          <w:p w14:paraId="59DA8ECA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Proponowane regulacje umożliwią zdobycie uprawnień superwizora pracy mobilnego doradcy</w:t>
            </w:r>
          </w:p>
        </w:tc>
      </w:tr>
      <w:tr w:rsidR="000D1A5D" w14:paraId="38455405" w14:textId="77777777">
        <w:trPr>
          <w:trHeight w:val="142"/>
        </w:trPr>
        <w:tc>
          <w:tcPr>
            <w:tcW w:w="2670" w:type="dxa"/>
            <w:gridSpan w:val="3"/>
          </w:tcPr>
          <w:p w14:paraId="39C63D8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gridSpan w:val="8"/>
          </w:tcPr>
          <w:p w14:paraId="053281B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gridSpan w:val="12"/>
          </w:tcPr>
          <w:p w14:paraId="7DA7FD8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6"/>
          </w:tcPr>
          <w:p w14:paraId="30B559D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AA7E705" w14:textId="77777777">
        <w:trPr>
          <w:trHeight w:val="142"/>
        </w:trPr>
        <w:tc>
          <w:tcPr>
            <w:tcW w:w="2670" w:type="dxa"/>
            <w:gridSpan w:val="3"/>
          </w:tcPr>
          <w:p w14:paraId="56B50A66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(dodaj/usuń)</w:t>
            </w:r>
          </w:p>
        </w:tc>
        <w:tc>
          <w:tcPr>
            <w:tcW w:w="2385" w:type="dxa"/>
            <w:gridSpan w:val="8"/>
          </w:tcPr>
          <w:p w14:paraId="7A5CC8F0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gridSpan w:val="12"/>
          </w:tcPr>
          <w:p w14:paraId="54958FE1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6"/>
          </w:tcPr>
          <w:p w14:paraId="08BD8BC6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040E85F6" w14:textId="77777777">
        <w:trPr>
          <w:trHeight w:val="30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46569E95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0D1A5D" w14:paraId="3146923E" w14:textId="77777777">
        <w:trPr>
          <w:trHeight w:val="342"/>
        </w:trPr>
        <w:tc>
          <w:tcPr>
            <w:tcW w:w="11160" w:type="dxa"/>
            <w:gridSpan w:val="29"/>
            <w:shd w:val="clear" w:color="auto" w:fill="FFFFFF"/>
          </w:tcPr>
          <w:p w14:paraId="3C35DAF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-konsultacje nie były przeprowadzane. Jednakże opracowanie projektu rozporządzenia było poprzedzone przeprowadzeniem pilotażu i stanowi realizację Instrumentu przygotowanego w ramach projektu: „Aktywni niepełnosprawni – narzędzia wsparcia samodzielności osób niepełnosprawnych” (numer projektu: POWR.02.06.00-00-0064/19). - projekt realizowany w ramach Działania 2.6 Wysoka jakość polityki na rzecz włączenia społecznego i zawodowego osób niepełnosprawnych. Oś Priorytetowa II: Efektywne polityki publiczne dla rynku pracy, gospodarki i edukacji Programu Operacyjnego Wiedza Edukacja Rozwój 2014-2020. Najważniejszym celem projektu jest wypracowanie nowych lub modyfikacja istniejących form wsparcia osób z niepełnosprawnościami, zapewniających możliwość korzystania każdej osobie z niepełnosprawnością z wolności i praw człowieka na zasadzie równości z innymi. </w:t>
            </w:r>
          </w:p>
          <w:p w14:paraId="791D7909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B94986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 rozporządzenia w ramach konsultacji publicznych i opiniowania zostanie przesłany do konsultacji społecznych i opiniowania.</w:t>
            </w:r>
          </w:p>
        </w:tc>
      </w:tr>
      <w:tr w:rsidR="000D1A5D" w14:paraId="6F71E857" w14:textId="77777777">
        <w:trPr>
          <w:trHeight w:val="363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7B651209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0D1A5D" w14:paraId="7C3B7216" w14:textId="77777777">
        <w:trPr>
          <w:cantSplit/>
          <w:trHeight w:val="142"/>
        </w:trPr>
        <w:tc>
          <w:tcPr>
            <w:tcW w:w="3135" w:type="dxa"/>
            <w:gridSpan w:val="4"/>
            <w:vMerge w:val="restart"/>
            <w:shd w:val="clear" w:color="auto" w:fill="FFFFFF"/>
          </w:tcPr>
          <w:p w14:paraId="7FEB423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(ceny stałe z …… r.)</w:t>
            </w:r>
          </w:p>
        </w:tc>
        <w:tc>
          <w:tcPr>
            <w:tcW w:w="8025" w:type="dxa"/>
            <w:gridSpan w:val="25"/>
            <w:shd w:val="clear" w:color="auto" w:fill="FFFFFF"/>
          </w:tcPr>
          <w:p w14:paraId="7F585ED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0D1A5D" w14:paraId="47F1D302" w14:textId="77777777">
        <w:trPr>
          <w:cantSplit/>
          <w:trHeight w:val="142"/>
        </w:trPr>
        <w:tc>
          <w:tcPr>
            <w:tcW w:w="3135" w:type="dxa"/>
            <w:gridSpan w:val="4"/>
            <w:vMerge/>
            <w:shd w:val="clear" w:color="auto" w:fill="FFFFFF"/>
          </w:tcPr>
          <w:p w14:paraId="0F94AC4F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A2FEFB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1CCA6F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08EE9B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5A86F0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B7B10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70EA1A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675C23CF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4D6B97A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967222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A56302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5DD429B4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2F50C066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0D1A5D" w14:paraId="64A98C82" w14:textId="77777777">
        <w:trPr>
          <w:trHeight w:val="32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338D84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CE12DA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B62716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0,08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7906546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0,08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2E1C6D9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0,09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962004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shd w:val="clear" w:color="auto" w:fill="FFFFFF"/>
          </w:tcPr>
          <w:p w14:paraId="5C57013C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0D74C1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2E8EDA69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5DAFA2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27AA4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3EBB2F45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2E1131A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0,59</w:t>
            </w:r>
          </w:p>
        </w:tc>
      </w:tr>
      <w:tr w:rsidR="000D1A5D" w14:paraId="7A249675" w14:textId="77777777">
        <w:trPr>
          <w:trHeight w:val="32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578038B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0C5DA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71D11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0,08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3F6E6DB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0,08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A72E41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0,09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A4F016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shd w:val="clear" w:color="auto" w:fill="FFFFFF"/>
          </w:tcPr>
          <w:p w14:paraId="769B82DC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6F8305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A62CA7A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FE7A7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FAE1B4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25583A3F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44BF4E1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0,59</w:t>
            </w:r>
          </w:p>
        </w:tc>
      </w:tr>
      <w:tr w:rsidR="000D1A5D" w14:paraId="138932F2" w14:textId="77777777">
        <w:trPr>
          <w:trHeight w:val="344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68AD043B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8843D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9F8B5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01B1423B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84678B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91256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55497A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949E76B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233FF9FF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66648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2AA3E5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DDE6BC5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08D94DC5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D1A5D" w14:paraId="54BE30FF" w14:textId="77777777">
        <w:trPr>
          <w:trHeight w:val="344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174201F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00ED3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198903F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64E2AF1B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764801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91DD2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7DEC86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8BA4AEA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DD8E1C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596E6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EDFFD2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67C0C4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1FEFFCB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D1A5D" w14:paraId="65CEA3AB" w14:textId="77777777">
        <w:trPr>
          <w:trHeight w:val="33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F6A9BE7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EBAAA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FEE2A6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0,08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7B49B83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0,08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62C315A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0,09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86E25C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shd w:val="clear" w:color="auto" w:fill="FFFFFF"/>
          </w:tcPr>
          <w:p w14:paraId="34AC4C9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1020129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4F35B5C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04AD9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854E0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7A0F554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3946A25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0,59</w:t>
            </w:r>
          </w:p>
        </w:tc>
      </w:tr>
      <w:tr w:rsidR="000D1A5D" w14:paraId="12579E4E" w14:textId="77777777">
        <w:trPr>
          <w:trHeight w:val="33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4369BC9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742AF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A2391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0,08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B746FD6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0,08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CF327BA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0,09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47F33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shd w:val="clear" w:color="auto" w:fill="FFFFFF"/>
          </w:tcPr>
          <w:p w14:paraId="1E4B8836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2B54EAA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097C1C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8F29A7C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1D45AF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570" w:type="dxa"/>
            <w:shd w:val="clear" w:color="auto" w:fill="FFFFFF"/>
          </w:tcPr>
          <w:p w14:paraId="44074515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0,05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65F20FD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0,59</w:t>
            </w:r>
          </w:p>
        </w:tc>
      </w:tr>
      <w:tr w:rsidR="000D1A5D" w14:paraId="49930A28" w14:textId="77777777">
        <w:trPr>
          <w:trHeight w:val="35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4660C3F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94ACC5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8D4DB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68EB3CD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38A22BB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56327D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7FD318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7613B7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8332C02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2C122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C162AC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4F327B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6F4873E5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D1A5D" w14:paraId="5C792208" w14:textId="77777777">
        <w:trPr>
          <w:trHeight w:val="35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8F9850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708DD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FD80F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2F48544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4D4E5A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7B1FAA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C7AC174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C5C735B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1C2396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213255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94C1C4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4DA62B4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59097FD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D1A5D" w14:paraId="32279446" w14:textId="77777777">
        <w:trPr>
          <w:trHeight w:val="36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E1B741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412809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A9DC6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378398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642A93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661471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CF02C99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4EB9FC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E5C957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DED4B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934C3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0DEDA3B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7066C885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D1A5D" w14:paraId="55F4182D" w14:textId="77777777">
        <w:trPr>
          <w:trHeight w:val="36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337001F2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07637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7F1802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47C8C77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C99DA2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53F366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0AD5E0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5FE1C4C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09067F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F0B50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5DF95A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733DED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1BF9B72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D1A5D" w14:paraId="62A84900" w14:textId="77777777">
        <w:trPr>
          <w:trHeight w:val="357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0505B5B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CD5FD6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2E29445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295EFAE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BCC2F9C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4B3649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76E545B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EA6E59F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63C3F84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0197F6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D39A60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7A32E16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5A2BF02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D1A5D" w14:paraId="3114F27F" w14:textId="77777777">
        <w:trPr>
          <w:trHeight w:val="357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6D05807B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1ED5B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F977AA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317098B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79F63CB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C44F3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E20D7F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D09DB6C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E339D05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1B9A0A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F14794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153B95A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33FAA19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D1A5D" w14:paraId="53223E31" w14:textId="77777777">
        <w:trPr>
          <w:trHeight w:val="348"/>
        </w:trPr>
        <w:tc>
          <w:tcPr>
            <w:tcW w:w="2250" w:type="dxa"/>
            <w:gridSpan w:val="2"/>
            <w:shd w:val="clear" w:color="auto" w:fill="FFFFFF"/>
            <w:vAlign w:val="center"/>
          </w:tcPr>
          <w:p w14:paraId="0BA7BC2B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910" w:type="dxa"/>
            <w:gridSpan w:val="27"/>
            <w:shd w:val="clear" w:color="auto" w:fill="FFFFFF"/>
            <w:vAlign w:val="center"/>
          </w:tcPr>
          <w:p w14:paraId="3CEA82C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Budżet Państwa - Fundusz Solidarnościowy</w:t>
            </w:r>
          </w:p>
          <w:p w14:paraId="0BA7FF3D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6F76CB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Przychody z tytułu opłat za egzamin superwizora pracy mobilnego doradcy </w:t>
            </w:r>
          </w:p>
          <w:p w14:paraId="1D11E8F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D1A5D" w14:paraId="103182A0" w14:textId="77777777">
        <w:trPr>
          <w:trHeight w:val="1140"/>
        </w:trPr>
        <w:tc>
          <w:tcPr>
            <w:tcW w:w="2250" w:type="dxa"/>
            <w:gridSpan w:val="2"/>
            <w:shd w:val="clear" w:color="auto" w:fill="FFFFFF"/>
          </w:tcPr>
          <w:p w14:paraId="63B8B311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910" w:type="dxa"/>
            <w:gridSpan w:val="27"/>
            <w:shd w:val="clear" w:color="auto" w:fill="FFFFFF"/>
          </w:tcPr>
          <w:p w14:paraId="3FBA8824" w14:textId="25E5654F" w:rsidR="000D1A5D" w:rsidRDefault="00000000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Projektowane uregulowania umożliwiające korzystanie mobilnym doradcą z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wynikają z ustawowego prawa do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wskazanego w ustawie. W związku z tym, projekt rozporządzenia jest realizacją delegacji ustawowej do szczegółowego określenia zasad i wytycznych związanych z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superwizją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309AD7E2" w14:textId="3FC246D8" w:rsidR="000D1A5D" w:rsidRDefault="00000000" w:rsidP="008F0588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Rozporządzenie jest neutralne dla jednostek sektora finansów publicznych, w tym budżetu państwa i budżetów jednostek samorządu terytorialnego, ponieważ koszty funkcjonowania systemu będą finansowane z przychodów z tytułu opłat za</w:t>
            </w:r>
            <w:r w:rsidR="008F058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egzamin na superwizora pracy mobilnego doradcy włączenia społecznego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3F58B57E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Do wyliczeń wpływu skutków regulacji wzięto pod uwagę następujące elementy: </w:t>
            </w:r>
          </w:p>
          <w:p w14:paraId="49378C0C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Projektowane rozporządzenie określa wysokość odpłatności za egzamin na poziomie 20% przeciętnego wynagrodzenia w gospodarce narodowej w poprzednim roku kalendarzowym 6 935,00 zł. tj. 1 387,00 zł. </w:t>
            </w:r>
          </w:p>
          <w:p w14:paraId="73048A10" w14:textId="77777777" w:rsidR="000D1A5D" w:rsidRDefault="00000000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Na potrzeby wyliczeń założono, że  w latach 2024, 2025, 2026, do egzaminów na superwizora będzie przystępowało po 50 kandydatów. Natomiast w latach od 2027 do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2033 po 25 kandydatów. Mając powyższe założenia na uwadze przychody z tytułu egzaminu w 2024 r. wyniosą 75 120,00 zł. W ciągu 10 lat łącznie 585 437,00 zł.</w:t>
            </w:r>
          </w:p>
        </w:tc>
      </w:tr>
      <w:tr w:rsidR="000D1A5D" w14:paraId="295463C2" w14:textId="77777777">
        <w:trPr>
          <w:trHeight w:val="345"/>
        </w:trPr>
        <w:tc>
          <w:tcPr>
            <w:tcW w:w="11160" w:type="dxa"/>
            <w:gridSpan w:val="29"/>
            <w:shd w:val="clear" w:color="auto" w:fill="99CCFF"/>
          </w:tcPr>
          <w:p w14:paraId="566CDC83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konkurencyjność gospodarki i przedsiębiorczość, w tym funkcjonowanie przedsiębiorców oraz na rodzinę, obywateli i gospodarstwa domowe </w:t>
            </w:r>
          </w:p>
        </w:tc>
      </w:tr>
      <w:tr w:rsidR="000D1A5D" w14:paraId="4F0DB399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2583DEF9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</w:t>
            </w:r>
          </w:p>
        </w:tc>
      </w:tr>
      <w:tr w:rsidR="000D1A5D" w14:paraId="6DF73FB3" w14:textId="77777777">
        <w:trPr>
          <w:trHeight w:val="142"/>
        </w:trPr>
        <w:tc>
          <w:tcPr>
            <w:tcW w:w="3885" w:type="dxa"/>
            <w:gridSpan w:val="7"/>
            <w:shd w:val="clear" w:color="auto" w:fill="FFFFFF"/>
          </w:tcPr>
          <w:p w14:paraId="5BAFD6D0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03D0C86D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7BA5AF6C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1E47BA6C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40C7823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40DAA48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1EE6021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5" w:type="dxa"/>
            <w:shd w:val="clear" w:color="auto" w:fill="FFFFFF"/>
          </w:tcPr>
          <w:p w14:paraId="78EB17A6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0D1A5D" w14:paraId="53B08689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4153B4BB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14:paraId="434949C4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(w mln zł, </w:t>
            </w:r>
          </w:p>
          <w:p w14:paraId="6D9FCA41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ceny stałe z …… r.)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261F0897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0F994EC4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076F7AB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5AC46DB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3CB1E324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F63B7D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7F9186A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0CE8A28C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4A1AC2DE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36262005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6FA7290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7ADD9069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20FA060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32C70EF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199514CF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74C1A33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0D95D792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487BA2A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2187C367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7FB2AA51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043CE64E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rodzina, obywatele oraz gospodarstwa domowe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2F5C01FF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77C56E4C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6C25519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EB7208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268012A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B01503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2C6E60E4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5A3E1E0F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705FFF36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2DCEAEAF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6D1030FC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21342358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683C9ABE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78095891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1997A1F2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92C90B6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6DB8811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779FB098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1C140E47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487471B0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363A5A1C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64E176FC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4446C1E9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6989E9E0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6ADE153B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534B2EDB" w14:textId="77777777">
        <w:trPr>
          <w:cantSplit/>
          <w:trHeight w:val="596"/>
        </w:trPr>
        <w:tc>
          <w:tcPr>
            <w:tcW w:w="1605" w:type="dxa"/>
            <w:vMerge/>
            <w:shd w:val="clear" w:color="auto" w:fill="FFFFFF"/>
          </w:tcPr>
          <w:p w14:paraId="389E99CF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377F6222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rodzina, obywatele oraz gospodarstwa domowe 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2CE47437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E601861" w14:textId="77777777">
        <w:trPr>
          <w:cantSplit/>
          <w:trHeight w:val="240"/>
        </w:trPr>
        <w:tc>
          <w:tcPr>
            <w:tcW w:w="1605" w:type="dxa"/>
            <w:vMerge/>
            <w:shd w:val="clear" w:color="auto" w:fill="FFFFFF"/>
          </w:tcPr>
          <w:p w14:paraId="06516F57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7D28FFAB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28E543A0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13CF39E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4794377A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1C210F1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3B4C17E1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Konsekwencją korzystania przez mobilnych doradców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superwizji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będzie wzrost ich kompetencji zawodowych, co przełoży się na wysoki poziom świadczonych usług i wzrost zadowolenia klientów z otrzymywanego wsparcia świadczonego przez mobilnych doradców.</w:t>
            </w:r>
          </w:p>
        </w:tc>
      </w:tr>
      <w:tr w:rsidR="000D1A5D" w14:paraId="41D01436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4A5AEF48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1D9A72CD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4932ED8D" w14:textId="77777777" w:rsidR="000D1A5D" w:rsidRDefault="0000000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EB2C051" w14:textId="77777777">
        <w:trPr>
          <w:trHeight w:val="1155"/>
        </w:trPr>
        <w:tc>
          <w:tcPr>
            <w:tcW w:w="2250" w:type="dxa"/>
            <w:gridSpan w:val="2"/>
            <w:shd w:val="clear" w:color="auto" w:fill="FFFFFF"/>
          </w:tcPr>
          <w:p w14:paraId="66A43B39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910" w:type="dxa"/>
            <w:gridSpan w:val="27"/>
            <w:shd w:val="clear" w:color="auto" w:fill="FFFFFF"/>
            <w:vAlign w:val="center"/>
          </w:tcPr>
          <w:p w14:paraId="4580F13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Projektowane rozporządzenie nie będzie miało bezpośredniego wpływu na konkurencyjność gospodarki i przedsiębiorczość.</w:t>
            </w:r>
          </w:p>
        </w:tc>
      </w:tr>
      <w:tr w:rsidR="000D1A5D" w14:paraId="5D66CDB4" w14:textId="77777777">
        <w:trPr>
          <w:trHeight w:val="34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2A88CE80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 Zmiana obciążeń regulacyjnych (w tym obowiązków informacyjnych) wynikających z projektu</w:t>
            </w:r>
          </w:p>
        </w:tc>
      </w:tr>
      <w:tr w:rsidR="000D1A5D" w14:paraId="12988675" w14:textId="77777777">
        <w:trPr>
          <w:trHeight w:val="151"/>
        </w:trPr>
        <w:tc>
          <w:tcPr>
            <w:tcW w:w="11160" w:type="dxa"/>
            <w:gridSpan w:val="29"/>
            <w:shd w:val="clear" w:color="auto" w:fill="FFFFFF"/>
          </w:tcPr>
          <w:p w14:paraId="4BEE5DFD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 nie dotyczy</w:t>
            </w:r>
          </w:p>
        </w:tc>
      </w:tr>
      <w:tr w:rsidR="000D1A5D" w14:paraId="469E8ACD" w14:textId="77777777">
        <w:trPr>
          <w:trHeight w:val="946"/>
        </w:trPr>
        <w:tc>
          <w:tcPr>
            <w:tcW w:w="5205" w:type="dxa"/>
            <w:gridSpan w:val="12"/>
            <w:shd w:val="clear" w:color="auto" w:fill="FFFFFF"/>
          </w:tcPr>
          <w:p w14:paraId="006AFE4A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Wprowadzane są obciążenia poza bezwzględnie wymaganymi przez UE (szczegóły w odwróconej tabeli zgodności).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23AA10CF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4E53AA52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7AB9D7F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</w:tc>
      </w:tr>
      <w:tr w:rsidR="000D1A5D" w14:paraId="0F9F7D91" w14:textId="77777777">
        <w:trPr>
          <w:trHeight w:val="1245"/>
        </w:trPr>
        <w:tc>
          <w:tcPr>
            <w:tcW w:w="5205" w:type="dxa"/>
            <w:gridSpan w:val="12"/>
            <w:shd w:val="clear" w:color="auto" w:fill="FFFFFF"/>
          </w:tcPr>
          <w:p w14:paraId="4B3FA85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zmniejszenie liczby dokumentów </w:t>
            </w:r>
          </w:p>
          <w:p w14:paraId="6429476D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zmniejszenie liczby procedur</w:t>
            </w:r>
          </w:p>
          <w:p w14:paraId="1EA6012F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skrócenie czasu na załatwienie sprawy</w:t>
            </w:r>
          </w:p>
          <w:p w14:paraId="618820B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     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3E5C18F9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dokumentów</w:t>
            </w:r>
          </w:p>
          <w:p w14:paraId="6E36D209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procedur</w:t>
            </w:r>
          </w:p>
          <w:p w14:paraId="48248B5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wydłużenie czasu na załatwienie sprawy</w:t>
            </w:r>
          </w:p>
          <w:p w14:paraId="3D029459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     </w:t>
            </w:r>
          </w:p>
          <w:p w14:paraId="2701EAF5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3C3703AD" w14:textId="77777777">
        <w:trPr>
          <w:trHeight w:val="870"/>
        </w:trPr>
        <w:tc>
          <w:tcPr>
            <w:tcW w:w="5205" w:type="dxa"/>
            <w:gridSpan w:val="12"/>
            <w:shd w:val="clear" w:color="auto" w:fill="FFFFFF"/>
          </w:tcPr>
          <w:p w14:paraId="74A0DEDE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Wprowadzane obciążenia są przystosowane do ich elektronizacji. 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5A92D78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4E62E04F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42440C1E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  <w:p w14:paraId="4791B76F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15EA524" w14:textId="77777777">
        <w:trPr>
          <w:trHeight w:val="630"/>
        </w:trPr>
        <w:tc>
          <w:tcPr>
            <w:tcW w:w="11160" w:type="dxa"/>
            <w:gridSpan w:val="29"/>
            <w:shd w:val="clear" w:color="auto" w:fill="FFFFFF"/>
          </w:tcPr>
          <w:p w14:paraId="2594E256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Komentarz:</w:t>
            </w:r>
          </w:p>
          <w:p w14:paraId="5BBBB29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BF3148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D27C9C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034443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155B8E14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6F23803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0D1A5D" w14:paraId="6EA11F75" w14:textId="77777777">
        <w:trPr>
          <w:trHeight w:val="142"/>
        </w:trPr>
        <w:tc>
          <w:tcPr>
            <w:tcW w:w="11160" w:type="dxa"/>
            <w:gridSpan w:val="29"/>
          </w:tcPr>
          <w:p w14:paraId="74665793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bezpośredniego wpływu na rynek pracy.</w:t>
            </w:r>
          </w:p>
          <w:p w14:paraId="153A991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0FD669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BB49473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3640B6E1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Wpływ na pozostałe obszary</w:t>
            </w:r>
          </w:p>
        </w:tc>
      </w:tr>
      <w:tr w:rsidR="000D1A5D" w14:paraId="1F276A06" w14:textId="77777777">
        <w:trPr>
          <w:trHeight w:val="1031"/>
        </w:trPr>
        <w:tc>
          <w:tcPr>
            <w:tcW w:w="3555" w:type="dxa"/>
            <w:gridSpan w:val="5"/>
            <w:shd w:val="clear" w:color="auto" w:fill="FFFFFF"/>
          </w:tcPr>
          <w:p w14:paraId="09B0014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2CEFA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środowisko naturalne</w:t>
            </w:r>
          </w:p>
          <w:p w14:paraId="16F2E018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sytuacja i rozwój regionalny</w:t>
            </w:r>
          </w:p>
          <w:p w14:paraId="7E8BA6F2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sądy powszechne, administracyjne lub wojskowe</w:t>
            </w:r>
          </w:p>
        </w:tc>
        <w:tc>
          <w:tcPr>
            <w:tcW w:w="3840" w:type="dxa"/>
            <w:gridSpan w:val="15"/>
            <w:shd w:val="clear" w:color="auto" w:fill="FFFFFF"/>
          </w:tcPr>
          <w:p w14:paraId="4E9094E3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ACB5CA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demografia</w:t>
            </w:r>
          </w:p>
          <w:p w14:paraId="4BC6BA62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mienie państwowe</w:t>
            </w:r>
          </w:p>
          <w:p w14:paraId="21E91DB1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osoby niepełnosprawne</w:t>
            </w:r>
          </w:p>
        </w:tc>
        <w:tc>
          <w:tcPr>
            <w:tcW w:w="3765" w:type="dxa"/>
            <w:gridSpan w:val="9"/>
            <w:shd w:val="clear" w:color="auto" w:fill="FFFFFF"/>
          </w:tcPr>
          <w:p w14:paraId="0724CBD9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ACEE51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informatyzacja</w:t>
            </w:r>
          </w:p>
          <w:p w14:paraId="6A3F72E3" w14:textId="5ED7C713" w:rsidR="000D1A5D" w:rsidRDefault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="00000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0000">
              <w:rPr>
                <w:rFonts w:ascii="Times New Roman" w:eastAsia="Times New Roman" w:hAnsi="Times New Roman" w:cs="Times New Roman"/>
                <w:color w:val="000000"/>
              </w:rPr>
              <w:t>zdrowie</w:t>
            </w:r>
          </w:p>
        </w:tc>
      </w:tr>
      <w:tr w:rsidR="000D1A5D" w14:paraId="2EDD905F" w14:textId="77777777">
        <w:trPr>
          <w:trHeight w:val="712"/>
        </w:trPr>
        <w:tc>
          <w:tcPr>
            <w:tcW w:w="2250" w:type="dxa"/>
            <w:gridSpan w:val="2"/>
            <w:shd w:val="clear" w:color="auto" w:fill="FFFFFF"/>
            <w:vAlign w:val="center"/>
          </w:tcPr>
          <w:p w14:paraId="461B2FD0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Omówienie wpływu</w:t>
            </w:r>
          </w:p>
        </w:tc>
        <w:tc>
          <w:tcPr>
            <w:tcW w:w="8910" w:type="dxa"/>
            <w:gridSpan w:val="27"/>
            <w:shd w:val="clear" w:color="auto" w:fill="FFFFFF"/>
            <w:vAlign w:val="center"/>
          </w:tcPr>
          <w:p w14:paraId="1C060AEB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wpływu na ww. obszary.</w:t>
            </w:r>
          </w:p>
        </w:tc>
      </w:tr>
      <w:tr w:rsidR="000D1A5D" w14:paraId="4498C91D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4F84C6E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Planowane wykonanie przepisów aktu prawnego</w:t>
            </w:r>
          </w:p>
        </w:tc>
      </w:tr>
      <w:tr w:rsidR="000D1A5D" w14:paraId="05F47199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34683D5F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Rozporządzenie wchodzi w życie po upływie 14 dni od dnia ogłoszenia.</w:t>
            </w:r>
          </w:p>
          <w:p w14:paraId="1E072534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2AFE81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7260B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325D5CD9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DB6A179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0D1A5D" w14:paraId="2A531BF4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42BFCC05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Efektem wejścia w życie projektu będzie liczba certyfikowanych superwizorów pracy mobilnego doradcy aktualizowana na bieżąco na podstawie listy certyfikowanych superwizorów pracy mobilnego doradcy zamieszczanej w BIP na stronie internetowej urzędu obsługującego ministra właściwego do spraw zabezpieczenia społecznego. Szacuje się, że pierwsze certyfikaty zostaną wydane w 2024 roku. Z uwagi na specyfikę projektu i jego miękkie rezultaty - niemierzalne (wzrost kompetencji mobilnych doradców wzrost poziomu świadczonych usług) ewaluacja efektów projektu w tym zakresie nie jest planowana.</w:t>
            </w:r>
          </w:p>
          <w:p w14:paraId="5302B7D4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0C431DC4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5164349C" w14:textId="77777777" w:rsidR="000D1A5D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(istotne dokumenty źródłowe, badania, analizy itp.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</w:p>
        </w:tc>
      </w:tr>
      <w:tr w:rsidR="000D1A5D" w14:paraId="566AF17E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05D99A8F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80B15D4" w14:textId="77777777" w:rsidR="000D1A5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</w:p>
          <w:p w14:paraId="2C510A2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FE82F5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F2CB38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FBF59EB" w14:textId="77777777" w:rsidR="000D1A5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Wyjaśnienia 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formularza oceny skutków regulacji</w:t>
      </w:r>
    </w:p>
    <w:p w14:paraId="4AE982D5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4D05E2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Metryczka</w:t>
      </w:r>
    </w:p>
    <w:p w14:paraId="54E7AD81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niniejszej części należy podać podstawowe informacje na temat oceny skutków regulacji:</w:t>
      </w:r>
    </w:p>
    <w:p w14:paraId="56F8182F" w14:textId="77777777" w:rsidR="000D1A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Nazwa projektu: </w:t>
      </w:r>
    </w:p>
    <w:p w14:paraId="06C4B99D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np. wstępny tytuł projektu wpisany do wykazu prac legislacyjnych.</w:t>
      </w:r>
    </w:p>
    <w:p w14:paraId="44117D26" w14:textId="77777777" w:rsidR="000D1A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Ministerstwo wiodące i ministerstwa współpracujące:</w:t>
      </w:r>
    </w:p>
    <w:p w14:paraId="6DFAEEB9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organ odpowiedzialny za przygotowanie projektu, jego koordynację oraz wdrożenie (ministerstwo wiodące). W przypadku, gdy projekt jest przedmiotem prac więcej niż jednego ministerstwa, proszę wskazać również podmioty współpracujące.</w:t>
      </w:r>
    </w:p>
    <w:p w14:paraId="4EA519D4" w14:textId="77777777" w:rsidR="000D1A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 odpowiedzialna za projekt w randze Ministra, Sekretarza Stanu lub Podsekretarza Stanu:</w:t>
      </w:r>
    </w:p>
    <w:p w14:paraId="2EDCC623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osobę, która w ministerstwie wiodącym nadzoruje prace jednostki odpowiedzialnej za merytoryczne przygotowanie projektu. </w:t>
      </w:r>
    </w:p>
    <w:p w14:paraId="66AA0AAC" w14:textId="77777777" w:rsidR="000D1A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Kontakt do opiekuna merytorycznego projektu:</w:t>
      </w:r>
    </w:p>
    <w:p w14:paraId="24686026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kontakt (telefon, adres e-mail) do osoby, która jest odpowiedzialna za opracowanie projektu (np. kierownika komórki organizacyjnej) i będzie w stanie odpowiedzieć na ewentualne pytania związane z przedstawionymi w ocenie informacjami lub wskaże odpowiednią osobę.</w:t>
      </w:r>
    </w:p>
    <w:p w14:paraId="533D485A" w14:textId="77777777" w:rsidR="000D1A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 sporządzenia:</w:t>
      </w:r>
    </w:p>
    <w:p w14:paraId="710D8786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podać datę przygotowania OSR. </w:t>
      </w:r>
    </w:p>
    <w:p w14:paraId="2F150FEC" w14:textId="77777777" w:rsidR="000D1A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Źródło:</w:t>
      </w:r>
    </w:p>
    <w:p w14:paraId="5610AE78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rozwijanej listy proszę wybrać źródło, na podstawie którego przygotowywany jest projekt (punkt exposé, data decyzji, nazwa strategii, nr dyrektywy, sygn. orzeczenia TK, nazwa ustawy, inne). </w:t>
      </w:r>
    </w:p>
    <w:p w14:paraId="59021459" w14:textId="77777777" w:rsidR="000D1A5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Nr w wykazie prac:</w:t>
      </w:r>
    </w:p>
    <w:p w14:paraId="3FD3839B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numer z właściwego wykazu prac legislacyjnych.</w:t>
      </w:r>
    </w:p>
    <w:p w14:paraId="306CB304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Jaki problem jest rozwiązywany?</w:t>
      </w:r>
    </w:p>
    <w:p w14:paraId="551C74E5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opisać istotę problemu (np. zawodność rynku, zapotrzebowanie na dobro publiczne, wysokie koszty transakcyjne, bariery w prowadzeniu działalności gospodarczej itp.) i jego praktyczny wymiar (np. zbyt mała ochrona leasingobiorców, niewystarczający komfort i długi czas podróży koleją, występujące obciążenia administracyjne pobierczego danego przepisu itp.). Istotą problemu nie jest brak określonej regulacji - nowa regulacja może być jednym z instrumentów (sposobem) rozwiązania problemu. Dobrze i zwięźle wypełniona rubryka umożliwi zrozumienie problemu, który ma być rozwiązany oraz skali i przyczyn jego występowania.</w:t>
      </w:r>
    </w:p>
    <w:p w14:paraId="3FBD6A3B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(największe) problemy wymagające rozwiązania.</w:t>
      </w:r>
    </w:p>
    <w:p w14:paraId="60A128A2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Rekomendowane rozwiązanie, w tym planowane narzędzia interwencji, i oczekiwany efekt</w:t>
      </w:r>
    </w:p>
    <w:p w14:paraId="21A0A878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zwięźle opisać proponowane rozwiązanie problemu opisanego w pkt 1 oraz oczekiwane rezultaty jego (ich) wdrożenia, sformułowane w możliwie konkretny, mierzalny i określony w czasie sposób - w przypadkach w których jest to możliwe powinien być zgodny z zasadą SMART (prosty, mierzalny, osiągalny, istotny, określony w czasie), np. osiągnięcie do 2020 r. wskaźnika upowszechnienia wychowania przedszkolnego co najmniej 90%.</w:t>
      </w:r>
    </w:p>
    <w:p w14:paraId="2B6BC05D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rekomendacje i cele.</w:t>
      </w:r>
    </w:p>
    <w:p w14:paraId="5FBF6F2C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 problem został rozwiązany w innych krajach, w szczególności krajach członkowskich OECD/UE?</w:t>
      </w:r>
    </w:p>
    <w:p w14:paraId="4E18DE73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- tam gdzie to możliwe - rozwiązania w minimum 3 krajach i źródła informacji. Proszę wskazać kraje,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których rozwiązania przeanalizowano oraz wyniki tych analiz. </w:t>
      </w:r>
    </w:p>
    <w:p w14:paraId="2B1AB819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projekt ma charakter przekrojowy i dotyczy wielu zagadnień (np. ustawa deregulująca zawody, ustawa o ułatwieniu wykonywania działalności gospodarczej) proszę wskazać informacje odnoszące się do zagadnień najważniejszych. </w:t>
      </w:r>
    </w:p>
    <w:p w14:paraId="3B155426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Podmioty, na które oddziałuje projekt</w:t>
      </w:r>
    </w:p>
    <w:p w14:paraId="3C4A1111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wyszczególnić jakie podmioty (zarówno osoby fizyczne, prawne lub jednostki nieposiadające osobowości prawnej) są objęte projektem. Proszę oszacować ich liczbę (wraz z podaniem źródła danych) oraz opisać charakter oddziaływania projektu na daną grupę.</w:t>
      </w:r>
    </w:p>
    <w:p w14:paraId="007D9C29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liczbę wierszy w tabeli, zgodnie z potrzebami projektu. Puste wiersze proszę usunąć.</w:t>
      </w:r>
    </w:p>
    <w:p w14:paraId="6DDC8258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Przykładowe grupy: obywatele, MŚP, rolnicy, rodzina, inwestorzy, lekarze, emeryci, osoby niepełnosprawne, sądy powszechne, administracyjne lub wojskowe.</w:t>
      </w:r>
    </w:p>
    <w:p w14:paraId="3F8165AD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267F07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Informacje na temat zakresu, czasu trwania i podsumowanie wyników konsultacji</w:t>
      </w:r>
    </w:p>
    <w:p w14:paraId="79E41FEF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informacje o konsultacjach poprzedzających przygotowanie projektu oraz wskazać, jaki jest planowany zakres konsultacji publicznych i opiniowania projektu, w szczególności uwzględniając:</w:t>
      </w:r>
    </w:p>
    <w:p w14:paraId="3FA9FF59" w14:textId="77777777" w:rsidR="000D1A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wskazanie, czy były (i jak długo) prowadzone konsultacje poprzedzające przygotowanie projektu (tzw.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-konsultacje publiczne), podmioty, z którymi były prowadzone te konsultacje (w tym ekspertów), w jaki sposób komunikowano się z grupami wskazanymi w pkt 6 (metody konsultacji np. warsztaty, kwestionariusz on-line), krótkie podsumowanie wyników konsultacji,</w:t>
      </w:r>
    </w:p>
    <w:p w14:paraId="77B5C5FB" w14:textId="77777777" w:rsidR="000D1A5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terminy planowanych konsultacji publicznych, podmioty, z którymi będzie konsultowany projekt, wskazanie przepisu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którego wynika obowiązek zasięgnięcia opinii.</w:t>
      </w:r>
    </w:p>
    <w:p w14:paraId="1379276C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EA09D1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sektor finansów publicznych</w:t>
      </w:r>
    </w:p>
    <w:p w14:paraId="12875784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przygotowaniu kalkulacji skutków dla sektora finansów publicznych proszę uwzględnić aktualne wytyczne dotyczące założeń makroekonomicznych, o których mowa w art. 50a ustawy o finansach publicznych. </w:t>
      </w:r>
    </w:p>
    <w:p w14:paraId="6D352C75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Jeśli to możliwe proszę wskazać skumulowane koszty/oszczędności. Prognozę proszę przeprowadzić w podziale na proponowane kategorie w horyzoncie 10-letnim, w wartościach stałych (np. ceny stałe dla pierwszego roku prognozy).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przypadku gdy analiza wpływu obejmuje dłuższy niż 10-letni horyzont (np. zmiany w systemie emerytalnym), możliwe jest dostosowanie kolumn tabeli do horyzontu projektu. </w:t>
      </w:r>
    </w:p>
    <w:p w14:paraId="2BF7659D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obliczenia zostały wykonane na podstawie opracowania własnego, proszę je przedstawić w formie załącznika oraz wskazać to opracowanie w pkt 13. </w:t>
      </w:r>
    </w:p>
    <w:p w14:paraId="4D01FB18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opracowywanej analizie wpływu, co do zasady, należy przyjąć kalkulację w cenach stałych. W przypadku zastosowania cen bieżących, prezentacja skutków finansowych powinna uwzględniać wskaźniki makroekonomiczne podawane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8" w:anchor="p_p_id_101_INSTANCE_S0gu_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dotyczących stosowania jednolitych wskaźników makroekonomicznych będących podstawą oszacowania skutków finansowych projektowanych ustaw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Jeżeli nie zastosowano wskaźników makroekonomicznych podanych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MF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proszę  dołączyć stosowną informację wyjaśniającą.</w:t>
      </w:r>
    </w:p>
    <w:p w14:paraId="600AB75C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źródła finansowania planowanych wydatków. Proszę wskazać również wszystkie przyjęte do obliczeń założenia i źródła danych.</w:t>
      </w:r>
    </w:p>
    <w:p w14:paraId="162936FD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kolejnych latach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</w:t>
      </w:r>
    </w:p>
    <w:p w14:paraId="462F5756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na SFP dla najważniejszych zmian.</w:t>
      </w:r>
    </w:p>
    <w:p w14:paraId="21364666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konkurencyjność gospodarki i przedsiębiorczość, w tym funkcjonowanie przedsiębiorców oraz na rodzinę, obywateli i gospodarstwa domowe</w:t>
      </w:r>
    </w:p>
    <w:p w14:paraId="3A378DD3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oszacować wpływ na konkurencyjność gospodarki, przedsiębiorczości oraz na sytuację rodziny. Skutki należy przypisać do odpowiedniej grupy w tabeli. </w:t>
      </w:r>
    </w:p>
    <w:p w14:paraId="0048982B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gdy regulacja będzie oddziaływać na inne niż wymienione w formularzu podmioty proszę odpowiednio uzupełnić formularz.</w:t>
      </w:r>
    </w:p>
    <w:p w14:paraId="7C026C27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wartość finansową, z uwzględnieniem m.in. kosztów ponoszonych w związku z wejściem w życie aktu (np. koszt aktualizacji systemów informatycznych, zakupu nowych urządzeń), podatków i opłat lokalnych, itp. </w:t>
      </w:r>
    </w:p>
    <w:p w14:paraId="03FC1FC4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ujęciu niepieniężnym proszę podać wartości najważniejszych wskaźników, które ulegną zmianie (np. skrócenie czasu wydania pozwolenia na budowę o 100 dni, wzrost wskaźnika upowszechnienia wychowania przedszkolnego o 20 punktów procentowych).</w:t>
      </w:r>
    </w:p>
    <w:p w14:paraId="7A5B4CFC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gdy nie ma możliwości podania żadnych wartości liczbowych (lub wpływ dotyczy także zmian, których nie można skwantyfikować) proszę odpowiednio opisać analizę wpływu w pozycji: „niemierzalne”.</w:t>
      </w:r>
    </w:p>
    <w:p w14:paraId="1BA554E3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1, 2, 3, 5 i 10 roku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 </w:t>
      </w:r>
    </w:p>
    <w:p w14:paraId="30B64D53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przypadku gdy analiza wpływu obejmuje dłuższy niż 10-letni horyzont (np. zmiany w systemie emerytalnym), możliwe jest dostosowanie kolumn tabeli do horyzontu projektu. </w:t>
      </w:r>
    </w:p>
    <w:p w14:paraId="5CC14038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CC980BA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ilość wierszy w tabeli, zgodnie z potrzebami projektu. Puste wiersze proszę usunąć.</w:t>
      </w:r>
    </w:p>
    <w:p w14:paraId="595C5E59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Zmiana obciążeń regulacyjnych (w tym obowiązków informacyjnych) wynikających z projektu</w:t>
      </w:r>
    </w:p>
    <w:p w14:paraId="479C630F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Obciążenia regulacyjne należy rozumieć jako wszystkie czynności, które muszą wykonać podmioty (adresaci regulacji)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związku wykonywaniem projektowanych przepisów. </w:t>
      </w:r>
    </w:p>
    <w:p w14:paraId="55911169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Przykładem takich obciążeń są m.in. obowiązki informacyjne (OI). OI polega na dostarczaniu lub przechowywaniu przez podmioty zobowiązane danych informacji. Identyfikowanie OI dokonywane jest w oparciu o przepisy ustawy. Dany przepis nakłada OI, jeżeli podmiot realizujący obowiązek musi wykonać szereg czynności administracyjnych. Przepis można uznać za OI w przypadku gdy jego wykonanie będzie związane z wykonaniem jednej lub więcej czynności składowych z listy poniżej:</w:t>
      </w:r>
    </w:p>
    <w:p w14:paraId="3955D69E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przyswajanie wiedzy dotyczącej wykonywania konkretnego obowiązku informacyjnego (w tym bieżące śledzenie zmian w przepisach),</w:t>
      </w:r>
    </w:p>
    <w:p w14:paraId="2D172D56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szkolenie pracowników w zakresie wykonywania OI,</w:t>
      </w:r>
    </w:p>
    <w:p w14:paraId="6D331016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pozyskiwanie odpowiednich informacji z posiadanych danych,</w:t>
      </w:r>
    </w:p>
    <w:p w14:paraId="5AFCFFA5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przetwarzanie posiadanych danych w celu wykonania OI,</w:t>
      </w:r>
    </w:p>
    <w:p w14:paraId="36E84D43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generowanie nowych danych,</w:t>
      </w:r>
    </w:p>
    <w:p w14:paraId="08E8C189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projektowanie materiałów informacyjnych,</w:t>
      </w:r>
    </w:p>
    <w:p w14:paraId="64554F1A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wypełnianie kwestionariuszy,</w:t>
      </w:r>
    </w:p>
    <w:p w14:paraId="37C88A56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odbywanie spotkań,</w:t>
      </w:r>
    </w:p>
    <w:p w14:paraId="236FE2AE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kontrola i sprawdzanie poprawności,</w:t>
      </w:r>
    </w:p>
    <w:p w14:paraId="1657F419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kopiowanie/sporządzanie dokumentacji,</w:t>
      </w:r>
    </w:p>
    <w:p w14:paraId="473C101D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przekazywanie wymaganej informacji do adresata,</w:t>
      </w:r>
    </w:p>
    <w:p w14:paraId="664308BE" w14:textId="77777777" w:rsidR="000D1A5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archiwizacja informacji.</w:t>
      </w:r>
    </w:p>
    <w:p w14:paraId="34B3438E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Proszę:</w:t>
      </w:r>
    </w:p>
    <w:p w14:paraId="5C3372F4" w14:textId="77777777" w:rsidR="000D1A5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gdy projekt nie dotyczy zmiany obciążeń regulacyjnych, zaznaczyć pole „nie dotyczy”,</w:t>
      </w:r>
    </w:p>
    <w:p w14:paraId="3CCDE8B6" w14:textId="77777777" w:rsidR="000D1A5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zmian w projekcie wpływających na obciążenia regulacyjne odpowiednio zaznaczyć ich zwiększenie lub zmniejszenie,</w:t>
      </w:r>
    </w:p>
    <w:p w14:paraId="42656170" w14:textId="77777777" w:rsidR="000D1A5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wskazać, czy wprowadzane są obciążenia poza bezwzględnie wymaganymi przez UE,</w:t>
      </w:r>
    </w:p>
    <w:p w14:paraId="4657DEED" w14:textId="77777777" w:rsidR="000D1A5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wskazać, czy dane obciążenia są przystosowane do ich ewentualnej elektronizacji (dotyczy sytuacji kiedy wprowadzane obciążenia wpływają na systemy teleinformatyczne podmiotów publicznych lub na podmioty prywatne – przedsiębiorcy, obywatele).</w:t>
      </w:r>
    </w:p>
    <w:p w14:paraId="341010C0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komentarzu proszę o zwięzłe opisanie zakresu zmian dotyczących obciążeń regulacyjnych.</w:t>
      </w:r>
    </w:p>
    <w:p w14:paraId="675F69BE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rynek pracy</w:t>
      </w:r>
    </w:p>
    <w:p w14:paraId="52688F9D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czy i w jaki sposób projektowana regulacja może spowodować zmiany na rynku pracy w odniesieniu do zatrudnienia oraz innych wskaźników (np. czasu poszukiwania pracy, kwalifikacji pracowników). </w:t>
      </w:r>
    </w:p>
    <w:p w14:paraId="105A61F7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66CF1BB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pozostałe obszary</w:t>
      </w:r>
    </w:p>
    <w:p w14:paraId="4C828B31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zaznaczyć pola - zakres oddziaływania projektu na obszary niewymienione w pkt 6, 7 i 9. Dla zaznaczonych obszarów proszę dokonać analizy wpływu. </w:t>
      </w:r>
    </w:p>
    <w:p w14:paraId="4722C52C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„informatyzacja” proszę w szczególności rozważyć następujące kwestie:</w:t>
      </w:r>
    </w:p>
    <w:p w14:paraId="1BF2F1D1" w14:textId="77777777" w:rsidR="000D1A5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Czy projekt spełnia wymagania interoperacyjności (zdolność sieci do efektywnej współpracy w celu zapewnienia wzajemnego dostępu użytkowników do usług świadczonych w tych sieciach)? </w:t>
      </w:r>
    </w:p>
    <w:p w14:paraId="5233A7AE" w14:textId="77777777" w:rsidR="000D1A5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 projekt spełnia wymogi neutralności technologicznej, wielojęzyczności, elektronicznej komunikacji, wykorzystania danych z rejestrów publicznych, ochrony danych osobowych?</w:t>
      </w:r>
    </w:p>
    <w:p w14:paraId="22B4A65D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„sądy powszechne, administracyjne lub wojskowe” proszę w szczególności uwzględnić wpływ regulacji na zmianę zakresu kognicji sądów oraz ich funkcjonowanie, a także związane z tym skutki finansowe.</w:t>
      </w:r>
    </w:p>
    <w:p w14:paraId="075F03B2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będzie miał wpływ na inne niż wymienione w pkt 10 obszary proszę zaznaczyć „inne” oraz je wymienić. Proszę również omówić wpływ, jaki będzie miała projektowana regulacja na wymienione obszary.</w:t>
      </w:r>
    </w:p>
    <w:p w14:paraId="631D8932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F253294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Planowane wykonanie przepisów aktu prawnego</w:t>
      </w:r>
    </w:p>
    <w:p w14:paraId="51125BCA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opisać kiedy planuje się rozwiązanie problemu zidentyfikowanego w pkt 1 (wejście przepisów w życie nie zawsze rozwiązuje dany problem a jedynie daje podstawę do wdrożenia instrumentów do jego rozwiązania). Proszę przedstawić harmonogram wdrożenia działań wykonania aktu prawnego (np. gdy rozwiązywanym problemem jest zwiększona zachorowalność, to działaniami będą: ew. zatrudnienie dodatkowych pracowników, zakup majątku - urządzeń, przeprowadzenie szczepień, zakup szczepionek itp.)).</w:t>
      </w:r>
    </w:p>
    <w:p w14:paraId="48583052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akt prawny ma charakter przekrojowy i dotyczy wielu zagadnień (np. ustawa deregulująca zawody, ustawa o ułatwieniu wykonywania działalności gospodarczej) proszę opisać planowane wykonanie dla najważniejszych zmian. </w:t>
      </w:r>
    </w:p>
    <w:p w14:paraId="7A428EC1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Jeżeli projektowana regulacja oddziałuje na przedsiębiorców (na prowadzenie działalności gospodarczej), zgodnie z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Uchwałą Rady Ministrów z dnia 18 lutego 2014 r. w sprawie zaleceń ujednolicenia terminów wejścia w życie niektórych aktów normatywnych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terminem wejścia w życie przepisów, po minimum 30-dniowym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vacatio legis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powinien być 1 stycznia lub 1 czerwca. Jeżeli termin ten nie zostanie zachowany, proszę wskazać powód odstąpienia od wyznaczonych terminów.</w:t>
      </w:r>
    </w:p>
    <w:p w14:paraId="666B8190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 jaki sposób i kiedy nastąpi ewaluacja efektów projektu oraz jakie mierniki zostaną zastosowane?</w:t>
      </w:r>
    </w:p>
    <w:p w14:paraId="45567077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kiedy i w jaki sposób będzie mierzone osiągnięcie efektu opisanego w pkt 2. Po jakim czasie nastąpi przegląd kosztów i korzyści projektowanych oddziaływań. Proszę również wskazać mierniki, które pozwolą określić, czy oczekiwane efekty zostały uzyskane. </w:t>
      </w:r>
    </w:p>
    <w:p w14:paraId="20256870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tym punkcie proszę też podać informację dotyczącą przygotowania oceny funkcjonowania ustawy (OSR ex-post), jeżeli w odniesieniu do projektu ustawy przewiduje się przedstawienie wyników ewaluacji w OSR ex-post. </w:t>
      </w:r>
    </w:p>
    <w:p w14:paraId="5624570B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sposób przeprowadzania ewaluacji i mierniki dla najważniejszych zmian.</w:t>
      </w:r>
    </w:p>
    <w:p w14:paraId="4B2C3057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Jeśli specyfika danego projektu uniemożliwia zastosowanie mierników lub też niezasadna jest jego ewaluacja (z uwagi na zakres lub charakter projektu) proszę to opisać. </w:t>
      </w:r>
    </w:p>
    <w:p w14:paraId="7947504B" w14:textId="77777777" w:rsidR="000D1A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Załączniki (istotne dokumenty źródłowe, badania, analizy, itp.)</w:t>
      </w:r>
    </w:p>
    <w:p w14:paraId="3FE05385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wymienić dodatkowe dokumenty, które stanowią załączniki do projektu i formularza. Załączanie dodatkowych dokumentów jest opcjonalne. </w:t>
      </w:r>
    </w:p>
    <w:sectPr w:rsidR="000D1A5D">
      <w:pgSz w:w="11906" w:h="16838"/>
      <w:pgMar w:top="568" w:right="707" w:bottom="568" w:left="720" w:header="708" w:footer="2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E49C" w14:textId="77777777" w:rsidR="005B353A" w:rsidRDefault="005B353A">
      <w:pPr>
        <w:spacing w:line="240" w:lineRule="auto"/>
        <w:ind w:left="0" w:hanging="2"/>
      </w:pPr>
      <w:r>
        <w:separator/>
      </w:r>
    </w:p>
  </w:endnote>
  <w:endnote w:type="continuationSeparator" w:id="0">
    <w:p w14:paraId="5BDA6A6E" w14:textId="77777777" w:rsidR="005B353A" w:rsidRDefault="005B35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C52A" w14:textId="77777777" w:rsidR="005B353A" w:rsidRDefault="005B353A">
      <w:pPr>
        <w:spacing w:line="240" w:lineRule="auto"/>
        <w:ind w:left="0" w:hanging="2"/>
      </w:pPr>
      <w:r>
        <w:separator/>
      </w:r>
    </w:p>
  </w:footnote>
  <w:footnote w:type="continuationSeparator" w:id="0">
    <w:p w14:paraId="5C2D8A5F" w14:textId="77777777" w:rsidR="005B353A" w:rsidRDefault="005B353A">
      <w:pPr>
        <w:spacing w:line="240" w:lineRule="auto"/>
        <w:ind w:left="0" w:hanging="2"/>
      </w:pPr>
      <w:r>
        <w:continuationSeparator/>
      </w:r>
    </w:p>
  </w:footnote>
  <w:footnote w:id="1">
    <w:p w14:paraId="55E637BE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Tłumaczenie własne na podstawie informacji zawartych na stronie internetowej http://www.anse.eu/</w:t>
      </w:r>
    </w:p>
  </w:footnote>
  <w:footnote w:id="2">
    <w:p w14:paraId="7BF5598C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Tłumaczenie własne na podstawie informacji zawartych na stronie internetowej http://www.dgsv.de/wp-content/uploads/2013/07/plakat_europakarte_web-l.pdf,</w:t>
      </w:r>
    </w:p>
  </w:footnote>
  <w:footnote w:id="3">
    <w:p w14:paraId="0E7954C9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jw</w:t>
      </w:r>
      <w:proofErr w:type="spellEnd"/>
    </w:p>
  </w:footnote>
  <w:footnote w:id="4">
    <w:p w14:paraId="5FB65F7C" w14:textId="77777777" w:rsidR="000D1A5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STANDARD SUPERWIZJI PRACY SOCJALNEJ ZADANIE „D” W RAMACH PRAC NAD STANDARDEM „SUPERWIZJA PRACY SOCJALNEJ” Przygotowany przez: Centrum </w:t>
      </w:r>
      <w:r>
        <w:rPr>
          <w:rFonts w:ascii="Times New Roman" w:eastAsia="Times New Roman" w:hAnsi="Times New Roman" w:cs="Times New Roman"/>
          <w:sz w:val="20"/>
          <w:szCs w:val="20"/>
        </w:rPr>
        <w:t>Wspierania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Aktywności Lokalnej CAL Lider zadania: Wyższa Szkoła Pedagogiczna TWP w </w:t>
      </w:r>
      <w:r>
        <w:rPr>
          <w:rFonts w:ascii="Times New Roman" w:eastAsia="Times New Roman" w:hAnsi="Times New Roman" w:cs="Times New Roman"/>
          <w:sz w:val="20"/>
          <w:szCs w:val="20"/>
        </w:rPr>
        <w:t>Warszawie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Marzec 2013. Produkt</w:t>
      </w:r>
    </w:p>
    <w:p w14:paraId="727A0849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51C9"/>
    <w:multiLevelType w:val="multilevel"/>
    <w:tmpl w:val="B224A9A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2977C1"/>
    <w:multiLevelType w:val="multilevel"/>
    <w:tmpl w:val="CF64D60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28C650E"/>
    <w:multiLevelType w:val="multilevel"/>
    <w:tmpl w:val="2D42A4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3154563"/>
    <w:multiLevelType w:val="multilevel"/>
    <w:tmpl w:val="42F8B650"/>
    <w:lvl w:ilvl="0"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43EF753F"/>
    <w:multiLevelType w:val="multilevel"/>
    <w:tmpl w:val="83C8F74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C61625F"/>
    <w:multiLevelType w:val="multilevel"/>
    <w:tmpl w:val="3D08B12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61E00E6"/>
    <w:multiLevelType w:val="multilevel"/>
    <w:tmpl w:val="58D0B71C"/>
    <w:lvl w:ilvl="0">
      <w:start w:val="1"/>
      <w:numFmt w:val="decimal"/>
      <w:lvlText w:val="%1)"/>
      <w:lvlJc w:val="left"/>
      <w:pPr>
        <w:ind w:left="1047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76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48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2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4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08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07" w:hanging="360"/>
      </w:pPr>
      <w:rPr>
        <w:vertAlign w:val="baseline"/>
      </w:rPr>
    </w:lvl>
  </w:abstractNum>
  <w:num w:numId="1" w16cid:durableId="1189947157">
    <w:abstractNumId w:val="3"/>
  </w:num>
  <w:num w:numId="2" w16cid:durableId="2118911039">
    <w:abstractNumId w:val="5"/>
  </w:num>
  <w:num w:numId="3" w16cid:durableId="981038694">
    <w:abstractNumId w:val="6"/>
  </w:num>
  <w:num w:numId="4" w16cid:durableId="1095203614">
    <w:abstractNumId w:val="4"/>
  </w:num>
  <w:num w:numId="5" w16cid:durableId="2052458461">
    <w:abstractNumId w:val="1"/>
  </w:num>
  <w:num w:numId="6" w16cid:durableId="222644571">
    <w:abstractNumId w:val="2"/>
  </w:num>
  <w:num w:numId="7" w16cid:durableId="3430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5D"/>
    <w:rsid w:val="000D1A5D"/>
    <w:rsid w:val="0057279E"/>
    <w:rsid w:val="005B353A"/>
    <w:rsid w:val="008F0588"/>
    <w:rsid w:val="00A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988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E0F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spacing w:line="240" w:lineRule="auto"/>
    </w:p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spacing w:line="240" w:lineRule="auto"/>
    </w:p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kocowego">
    <w:name w:val="endnote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numbering" w:customStyle="1" w:styleId="WWNum21">
    <w:name w:val="WWNum21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42F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sYnx6sD5dQry5UZEfHwAH0I2qA==">AMUW2mUmpPTHJDu54xSwEWuzmxnbwWSTgSJulTtyhhre47wCvYpS9c3t1kDkHGLHIP8wj8KYJUgesRoKJNIEaxAkqzFoJk4WSDJhhp7+VpQWLhif0gwm9jmjml7SaR3HplSf55/y3ly6oKF/WbBvpCkTLF7460xKP8Ethh0+AMdrfYeFS2SoVe9pcNw55IU4/tfxfaCWKgcY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4517</Words>
  <Characters>27107</Characters>
  <Application>Microsoft Office Word</Application>
  <DocSecurity>0</DocSecurity>
  <Lines>225</Lines>
  <Paragraphs>63</Paragraphs>
  <ScaleCrop>false</ScaleCrop>
  <Company/>
  <LinksUpToDate>false</LinksUpToDate>
  <CharactersWithSpaces>31561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Malinowska-Wójcicka</dc:creator>
  <cp:lastModifiedBy>Magdalena Malinowska - Wójcicka</cp:lastModifiedBy>
  <cp:revision>4</cp:revision>
  <cp:lastPrinted>2023-05-02T12:05:00Z</cp:lastPrinted>
  <dcterms:created xsi:type="dcterms:W3CDTF">2023-05-02T11:49:00Z</dcterms:created>
  <dcterms:modified xsi:type="dcterms:W3CDTF">2023-05-02T12:18:00Z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4618b183-7293-478a-90df-eb358b08ae3f</vt:lpwstr>
  </property>
  <property fmtid="{D5CDD505-2E9C-101B-9397-08002B2CF9AE}" pid="3" name="bjSaver">
    <vt:lpwstr>rfs14SEr28L7/Yh11SJ+XRa8E/6Wo58Q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